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u8eatmvjq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Obligations of Employers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Employment Terms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helper resides and works in the employer’s residence as specified in Clause 3.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 the helper for domestic duties only, such as household chores, cooking, child-minding, or elderly care.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Salary and Allowances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Pay the </w:t>
      </w:r>
      <w:r w:rsidDel="00000000" w:rsidR="00000000" w:rsidRPr="00000000">
        <w:rPr>
          <w:b w:val="1"/>
          <w:rtl w:val="0"/>
        </w:rPr>
        <w:t xml:space="preserve">Minimum Allowable Wage</w:t>
      </w:r>
      <w:r w:rsidDel="00000000" w:rsidR="00000000" w:rsidRPr="00000000">
        <w:rPr>
          <w:rtl w:val="0"/>
        </w:rPr>
        <w:t xml:space="preserve"> (currently HK$4,870/month as of September 29, 2023).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food free of charge or a monthly food allowance (HK$1,236).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deductions from wages for any insurance-related costs.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Medical Expenses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Cover all medical fees and expenses incurred by the helper under Clause 9.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Take out valid employee insurance covering injuries sustained at work as required by the Employees' Compensation Ordinance (ECO).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Workplace Safety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 safe working environment and avoid conduct that could endanger the helper, such as violence or ill-treatment.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Travel Arrangements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helper accompanies the family abroad, check insurance coverage and consider obtaining travel insurance for the helper.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Termination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one month’s notice or pay one month’s wages in lieu of notice for early termination unless justified by serious misconduct.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and Monitoring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Adhere to privacy guidelines (e.g., video monitoring rules) as advised by the PCPD.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Capability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Meet the minimum monthly household income requirement of HK$15,000 to employ a helper.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Compliance with Immigration and Employment Laws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require the helper to perform work for other households or engage in any other employment. Breaches can result in penalties for both the employer and the helper.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lg2cmzmo7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Obligations of Foreign Domestic Helpers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Residency and Work Location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Reside at the employer’s residence as per the contract.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Work only at the designated address in the contract, except for incidental duties performed outside (e.g., grocery shopping, car washing).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Domestic Duties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Carry out duties outlined in the Standard Employment Contract, including household chores, cooking, child-minding, and elderly care.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Restriction on Outside Employment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 engage in any other form of employment or work for other employers.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Early Termination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one month’s notice or agree to payment in lieu of notice if terminating the contract early, unless justified by circumstances such as: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Fear of violence or disease.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Ill-treatment by the employer.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Permanent medical unfitness after 5+ years of employment.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Legal Consequences of Breach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Breaching the contract or conditions of stay may result in prosecution, deportation, or a ban on future employment in Hong Kong.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c5v5yf6rh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Additional Points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Work-Related Injuries:</w:t>
      </w:r>
      <w:r w:rsidDel="00000000" w:rsidR="00000000" w:rsidRPr="00000000">
        <w:rPr>
          <w:rtl w:val="0"/>
        </w:rPr>
        <w:t xml:space="preserve"> Employers are responsible for compensation under the ECO. Helpers can claim for accidents or occupational diseases arising from employment.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Insurance for Overseas Travel:</w:t>
      </w:r>
      <w:r w:rsidDel="00000000" w:rsidR="00000000" w:rsidRPr="00000000">
        <w:rPr>
          <w:rtl w:val="0"/>
        </w:rPr>
        <w:t xml:space="preserve"> Helpers accompanying employers overseas should be covered by travel insurance as standard employee policies may not apply outside Hong Kong.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