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Light" w:hAnsi="Calibri Light"/>
          <w:b/>
          <w:color w:val="0B6E4F"/>
          <w:sz w:val="52"/>
        </w:rPr>
        <w:t>Healthcare Appointment Booking System</w:t>
      </w:r>
    </w:p>
    <w:p>
      <w:pPr>
        <w:spacing w:after="400"/>
        <w:jc w:val="center"/>
      </w:pPr>
      <w:r>
        <w:rPr>
          <w:rFonts w:ascii="Calibri" w:hAnsi="Calibri"/>
          <w:i/>
          <w:color w:val="64748B"/>
          <w:sz w:val="26"/>
        </w:rPr>
        <w:t>Comprehensive Conceptual Guide, Technical Method Comparison &amp; Architectural Rationale</w:t>
      </w:r>
    </w:p>
    <w:tbl>
      <w:tblPr>
        <w:tblW w:type="auto" w:w="0"/>
        <w:jc w:val="center"/>
        <w:tblLook w:firstColumn="1" w:firstRow="1" w:lastColumn="0" w:lastRow="0" w:noHBand="0" w:noVBand="1" w:val="04A0"/>
      </w:tblPr>
      <w:tblGrid>
        <w:gridCol w:w="4680"/>
        <w:gridCol w:w="4680"/>
      </w:tblGrid>
      <w:tr>
        <w:tc>
          <w:tcPr>
            <w:tcW w:type="dxa" w:w="3168"/>
          </w:tcPr>
          <w:p>
            <w:r>
              <w:rPr>
                <w:b/>
              </w:rPr>
              <w:t>Project Name</w:t>
            </w:r>
          </w:p>
        </w:tc>
        <w:tc>
          <w:tcPr>
            <w:tcW w:type="dxa" w:w="6192"/>
          </w:tcPr>
          <w:p>
            <w:r>
              <w:t>Healthcare Appointment Booking System for WordPress</w:t>
            </w:r>
          </w:p>
        </w:tc>
      </w:tr>
      <w:tr>
        <w:tc>
          <w:tcPr>
            <w:tcW w:type="dxa" w:w="3168"/>
          </w:tcPr>
          <w:p>
            <w:r>
              <w:rPr>
                <w:b/>
              </w:rPr>
              <w:t>Lead Developer &amp; Architect</w:t>
            </w:r>
          </w:p>
        </w:tc>
        <w:tc>
          <w:tcPr>
            <w:tcW w:type="dxa" w:w="6192"/>
          </w:tcPr>
          <w:p>
            <w:r>
              <w:t>Aashish Pathak</w:t>
            </w:r>
          </w:p>
        </w:tc>
      </w:tr>
      <w:tr>
        <w:tc>
          <w:tcPr>
            <w:tcW w:type="dxa" w:w="3168"/>
          </w:tcPr>
          <w:p>
            <w:r>
              <w:rPr>
                <w:b/>
              </w:rPr>
              <w:t>Core Technology Stack</w:t>
            </w:r>
          </w:p>
        </w:tc>
        <w:tc>
          <w:tcPr>
            <w:tcW w:type="dxa" w:w="6192"/>
          </w:tcPr>
          <w:p>
            <w:r>
              <w:t>WordPress 6.0+, PHP 8.1+ (PSR-4), MySQL/MariaDB (dbDelta), Vanilla JS/CSS</w:t>
            </w:r>
          </w:p>
        </w:tc>
      </w:tr>
      <w:tr>
        <w:tc>
          <w:tcPr>
            <w:tcW w:type="dxa" w:w="3168"/>
          </w:tcPr>
          <w:p>
            <w:r>
              <w:rPr>
                <w:b/>
              </w:rPr>
              <w:t>Key Architectural Focus</w:t>
            </w:r>
          </w:p>
        </w:tc>
        <w:tc>
          <w:tcPr>
            <w:tcW w:type="dxa" w:w="6192"/>
          </w:tcPr>
          <w:p>
            <w:r>
              <w:t>Healthcare Multi-Doctor Scheduling, WPML i18n, DB Concurrency &amp; Security</w:t>
            </w:r>
          </w:p>
        </w:tc>
      </w:tr>
      <w:tr>
        <w:tc>
          <w:tcPr>
            <w:tcW w:type="dxa" w:w="3168"/>
          </w:tcPr>
          <w:p>
            <w:r>
              <w:rPr>
                <w:b/>
              </w:rPr>
              <w:t>Documentation Scope</w:t>
            </w:r>
          </w:p>
        </w:tc>
        <w:tc>
          <w:tcPr>
            <w:tcW w:type="dxa" w:w="6192"/>
          </w:tcPr>
          <w:p>
            <w:r>
              <w:t>Comparative Method Analysis, Architectural Rationale, Schema &amp; Method Specs</w:t>
            </w:r>
          </w:p>
        </w:tc>
      </w:tr>
    </w:tbl>
    <w:p/>
    <w:p>
      <w:pPr>
        <w:spacing w:before="320" w:after="120"/>
      </w:pPr>
      <w:r>
        <w:rPr>
          <w:rFonts w:ascii="Calibri Light" w:hAnsi="Calibri Light"/>
          <w:b/>
          <w:color w:val="0B6E4F"/>
          <w:sz w:val="34"/>
        </w:rPr>
        <w:t>1. Overall Concept of the Healthcare Booking Engine</w:t>
      </w:r>
    </w:p>
    <w:p>
      <w:r>
        <w:t>The Healthcare Appointment Booking System is an enterprise-grade medical scheduling engine built natively for WordPress. Unlike generic salon or personal service booking plugins, healthcare facilities operate under strict operational constraints: doctors practice across multiple specialties, availability varies by day and location, consultations require specific buffer intervals, patient data requires strict input bounds and sanitization, and administrative edits must be completely audit-logged.</w:t>
      </w:r>
    </w:p>
    <w:tbl>
      <w:tblPr>
        <w:tblW w:type="auto" w:w="0"/>
        <w:jc w:val="center"/>
        <w:tblLook w:firstColumn="1" w:firstRow="1" w:lastColumn="0" w:lastRow="0" w:noHBand="0" w:noVBand="1" w:val="04A0"/>
      </w:tblPr>
      <w:tblGrid>
        <w:gridCol w:w="9360"/>
      </w:tblGrid>
      <w:tr>
        <w:tc>
          <w:tcPr>
            <w:tcW w:type="dxa" w:w="9360"/>
            <w:shd w:fill="F1F5F9"/>
            <w:tcBorders>
              <w:left w:val="single" w:sz="36" w:space="0" w:color="0B6E4F"/>
              <w:top w:val="none"/>
              <w:right w:val="none"/>
              <w:bottom w:val="none"/>
            </w:tcBorders>
          </w:tcPr>
          <w:p>
            <w:pPr>
              <w:spacing w:before="120" w:after="120"/>
              <w:ind w:left="144"/>
            </w:pPr>
            <w:r>
              <w:rPr>
                <w:b/>
                <w:color w:val="0B6E4F"/>
              </w:rPr>
              <w:t xml:space="preserve">[CORE CONCEPT] </w:t>
            </w:r>
            <w:r>
              <w:rPr>
                <w:color w:val="334155"/>
              </w:rPr>
              <w:t>Core Philosophy: Zero reliance on heavy third-party NPM/JS frameworks, native WordPress DB integration via dbDelta(), strict server-side slot availability re-verification at submission time, and multi-language support mapped to single source-of-truth doctor records.</w:t>
            </w:r>
          </w:p>
        </w:tc>
      </w:tr>
    </w:tbl>
    <w:p>
      <w:pPr>
        <w:spacing w:before="320" w:after="120"/>
      </w:pPr>
      <w:r>
        <w:rPr>
          <w:rFonts w:ascii="Calibri Light" w:hAnsi="Calibri Light"/>
          <w:b/>
          <w:color w:val="0B6E4F"/>
          <w:sz w:val="34"/>
        </w:rPr>
        <w:t>2. Comparative Method Analysis &amp; Decision Rationale</w:t>
      </w:r>
    </w:p>
    <w:p>
      <w:r>
        <w:t>Every core method and architectural pattern in this plugin was selected after comparing alternative implementation approaches. Below is the detailed comparative analysis justifying each choice.</w:t>
      </w:r>
    </w:p>
    <w:p>
      <w:pPr>
        <w:spacing w:before="240" w:after="80"/>
      </w:pPr>
      <w:r>
        <w:rPr>
          <w:rFonts w:ascii="Calibri" w:hAnsi="Calibri"/>
          <w:b/>
          <w:color w:val="0F172A"/>
          <w:sz w:val="27"/>
        </w:rPr>
        <w:t>2.1 Schema Installation &amp; Updates: dbDelta() vs Raw SQL Execution</w:t>
      </w:r>
    </w:p>
    <w:p>
      <w:r>
        <w:t>Why dbDelta() was chosen: In WordPress, plugins undergo schema evolution over time (e.g. adding new audit columns, pivot indexes, or translation fields). Executing raw SQL statements such as $wpdb-&gt;query('CREATE TABLE IF NOT EXISTS...') creates tables on initial activation but fails to alter or update existing table structures during plugin upgrades. Conversely, dropping tables ($wpdb-&gt;query('DROP TABLE...')) causes catastrophic data loss.</w:t>
      </w:r>
    </w:p>
    <w:p>
      <w:r>
        <w:t>dbDelta() is WordPress's native schema engine. It parses proposed SQL CREATE TABLE definitions, compares them against the existing database schema, and automatically executes granular ALTER TABLE statements (adding missing columns, updating field types, or adding indexes) without touching existing rows or dropping data.</w:t>
      </w:r>
    </w:p>
    <w:p>
      <w:pPr>
        <w:spacing w:before="240" w:after="80"/>
      </w:pPr>
      <w:r>
        <w:rPr>
          <w:rFonts w:ascii="Calibri" w:hAnsi="Calibri"/>
          <w:b/>
          <w:color w:val="0F172A"/>
          <w:sz w:val="27"/>
        </w:rPr>
        <w:t>2.2 CSV Export Generation: fputcsv() + sanitize_csv_field() vs String Concatenation</w:t>
      </w:r>
    </w:p>
    <w:p>
      <w:r>
        <w:t>Why fputcsv() + sanitize_csv_field() was chosen: Standard string concatenation (e.g. $line = $name . ',' . $email . "\n") breaks whenever field values contain commas, quotation marks, or newlines, resulting in broken CSV column alignments.</w:t>
      </w:r>
    </w:p>
    <w:p>
      <w:r>
        <w:t>Using PHP's native fputcsv() guarantees RFC 4180 compliance by handling quoting and escaping automatically. Furthermore, wrapping string values in sanitize_csv_field() neutralizes leading formula characters (=, +, -, @, \t, \r) with a single quote (') to prevent CSV Formula Injection (CWE-1236) in Microsoft Excel. Additionally, writing the UTF-8 BOM byte (\xEF\xBB\xBF) ensures non-English characters (e.g. Läng, François) open cleanly in Windows Excel.</w:t>
      </w:r>
    </w:p>
    <w:p>
      <w:pPr>
        <w:spacing w:before="240" w:after="80"/>
      </w:pPr>
      <w:r>
        <w:rPr>
          <w:rFonts w:ascii="Calibri" w:hAnsi="Calibri"/>
          <w:b/>
          <w:color w:val="0F172A"/>
          <w:sz w:val="27"/>
        </w:rPr>
        <w:t>2.3 Public Rate Limiting: WordPress Transients API vs Custom DB Tables or Sessions</w:t>
      </w:r>
    </w:p>
    <w:p>
      <w:r>
        <w:t>Why set_transient() / get_transient() was chosen: Alternatives such as PHP $_SESSION are unreliable in WordPress environments due to stateless hosting architectures, load balancers, and disabled session handlers. Cookies can be manipulated or cleared on the client side. Creating custom DB tables for rate limiting introduces heavy MySQL write/delete overhead on every public AJAX request.</w:t>
      </w:r>
    </w:p>
    <w:p>
      <w:r>
        <w:t>The WordPress Transients API uses object caching (Redis / Memcached) when available, falling back to wp_options with automatic expiration cleanup. Tracking transient keys by IP address (ab_rl_md5(action_ip)) provides ultra-fast, zero-overhead rate limiting (5 submissions per 5 minutes per IP).</w:t>
      </w:r>
    </w:p>
    <w:p>
      <w:pPr>
        <w:spacing w:before="240" w:after="80"/>
      </w:pPr>
      <w:r>
        <w:rPr>
          <w:rFonts w:ascii="Calibri" w:hAnsi="Calibri"/>
          <w:b/>
          <w:color w:val="0F172A"/>
          <w:sz w:val="27"/>
        </w:rPr>
        <w:t>2.4 Data Input Sanitization: wp_unslash() + sanitize_text_field() vs addslashes()</w:t>
      </w:r>
    </w:p>
    <w:p>
      <w:r>
        <w:t>Why wp_unslash() + sanitize_text_field() was chosen: WordPress automatically applies magic slashes to all $_POST, $_GET, and $_REQUEST superglobals. Calling sanitize_text_field() directly on raw POST data causes double-escaping bugs (e.g., O\'Connor becoming O\\\'Connor).</w:t>
      </w:r>
    </w:p>
    <w:p>
      <w:r>
        <w:t>The correct pattern is to call wp_unslash() first to remove WordPress's magic slashes, followed immediately by sanitize_text_field() or sanitize_email() to strip HTML tags, octets, and invalid control characters.</w:t>
      </w:r>
    </w:p>
    <w:p>
      <w:pPr>
        <w:spacing w:before="240" w:after="80"/>
      </w:pPr>
      <w:r>
        <w:rPr>
          <w:rFonts w:ascii="Calibri" w:hAnsi="Calibri"/>
          <w:b/>
          <w:color w:val="0F172A"/>
          <w:sz w:val="27"/>
        </w:rPr>
        <w:t>2.5 Class Autoloading: PSR-4 Namespace Autoloader vs require_once Waterfall</w:t>
      </w:r>
    </w:p>
    <w:p>
      <w:r>
        <w:t>Why PSR-4 Namespace Autoloading was chosen: Maintaining a massive list of hardcoded require_once statements in the main plugin file loads all classes into memory on every single HTTP request, creating memory bloat and increasing load times. It also risks 'Cannot redeclare class' fatal errors.</w:t>
      </w:r>
    </w:p>
    <w:p>
      <w:r>
        <w:t>The custom PSR-4 autoloader dynamically maps namespaces (AB\Admin\Controllers\Doctor_Controller -&gt; admin/controllers/class-doctor-controller.php) and lazy-loads classes only when they are instantiated.</w:t>
      </w:r>
    </w:p>
    <w:tbl>
      <w:tblPr>
        <w:tblW w:type="auto" w:w="0"/>
        <w:jc w:val="center"/>
        <w:tblLook w:firstColumn="1" w:firstRow="1" w:lastColumn="0" w:lastRow="0" w:noHBand="0" w:noVBand="1" w:val="04A0"/>
      </w:tblPr>
      <w:tblGrid>
        <w:gridCol w:w="3120"/>
        <w:gridCol w:w="3120"/>
        <w:gridCol w:w="3120"/>
      </w:tblGrid>
      <w:tr>
        <w:tc>
          <w:tcPr>
            <w:tcW w:type="dxa" w:w="3120"/>
            <w:shd w:fill="0B6E4F"/>
          </w:tcPr>
          <w:p>
            <w:pPr>
              <w:jc w:val="left"/>
            </w:pPr>
            <w:r>
              <w:rPr>
                <w:b/>
                <w:color w:val="FFFFFF"/>
              </w:rPr>
              <w:t>Task / Architectural Need</w:t>
            </w:r>
          </w:p>
        </w:tc>
        <w:tc>
          <w:tcPr>
            <w:tcW w:type="dxa" w:w="3120"/>
            <w:shd w:fill="0B6E4F"/>
          </w:tcPr>
          <w:p>
            <w:pPr>
              <w:jc w:val="left"/>
            </w:pPr>
            <w:r>
              <w:rPr>
                <w:b/>
                <w:color w:val="FFFFFF"/>
              </w:rPr>
              <w:t>Alternative / Standard Method</w:t>
            </w:r>
          </w:p>
        </w:tc>
        <w:tc>
          <w:tcPr>
            <w:tcW w:type="dxa" w:w="3120"/>
            <w:shd w:fill="0B6E4F"/>
          </w:tcPr>
          <w:p>
            <w:pPr>
              <w:jc w:val="left"/>
            </w:pPr>
            <w:r>
              <w:rPr>
                <w:b/>
                <w:color w:val="FFFFFF"/>
              </w:rPr>
              <w:t>Selected Implemented Method &amp; Rationale</w:t>
            </w:r>
          </w:p>
        </w:tc>
      </w:tr>
      <w:tr>
        <w:tc>
          <w:tcPr>
            <w:tcW w:type="dxa" w:w="2592"/>
          </w:tcPr>
          <w:p>
            <w:r>
              <w:rPr>
                <w:b/>
              </w:rPr>
              <w:t>Database Schema Upgrades</w:t>
            </w:r>
          </w:p>
        </w:tc>
        <w:tc>
          <w:tcPr>
            <w:tcW w:type="dxa" w:w="3168"/>
          </w:tcPr>
          <w:p>
            <w:r>
              <w:t>Raw CREATE TABLE IF NOT EXISTS</w:t>
            </w:r>
          </w:p>
        </w:tc>
        <w:tc>
          <w:tcPr>
            <w:tcW w:type="dxa" w:w="3600"/>
          </w:tcPr>
          <w:p>
            <w:r>
              <w:t>dbDelta() — Auto-alters table structure without dropping existing data or missing new columns.</w:t>
            </w:r>
          </w:p>
        </w:tc>
      </w:tr>
      <w:tr>
        <w:tc>
          <w:tcPr>
            <w:tcW w:type="dxa" w:w="2592"/>
          </w:tcPr>
          <w:p>
            <w:r>
              <w:rPr>
                <w:b/>
              </w:rPr>
              <w:t>CSV Exporting &amp; Security</w:t>
            </w:r>
          </w:p>
        </w:tc>
        <w:tc>
          <w:tcPr>
            <w:tcW w:type="dxa" w:w="3168"/>
          </w:tcPr>
          <w:p>
            <w:r>
              <w:t>Manual String Concatenation</w:t>
            </w:r>
          </w:p>
        </w:tc>
        <w:tc>
          <w:tcPr>
            <w:tcW w:type="dxa" w:w="3600"/>
          </w:tcPr>
          <w:p>
            <w:r>
              <w:t>fputcsv() + sanitize_csv_field() + UTF-8 BOM — Prevents formula injection (CWE-1236) &amp; encoding bugs.</w:t>
            </w:r>
          </w:p>
        </w:tc>
      </w:tr>
      <w:tr>
        <w:tc>
          <w:tcPr>
            <w:tcW w:type="dxa" w:w="2592"/>
          </w:tcPr>
          <w:p>
            <w:r>
              <w:rPr>
                <w:b/>
              </w:rPr>
              <w:t>Public Endpoint Rate Limit</w:t>
            </w:r>
          </w:p>
        </w:tc>
        <w:tc>
          <w:tcPr>
            <w:tcW w:type="dxa" w:w="3168"/>
          </w:tcPr>
          <w:p>
            <w:r>
              <w:t>PHP $_SESSION or Custom DB Table</w:t>
            </w:r>
          </w:p>
        </w:tc>
        <w:tc>
          <w:tcPr>
            <w:tcW w:type="dxa" w:w="3600"/>
          </w:tcPr>
          <w:p>
            <w:r>
              <w:t>WordPress Transients API — Ultra-fast, object-cache compatible, zero database bloat.</w:t>
            </w:r>
          </w:p>
        </w:tc>
      </w:tr>
      <w:tr>
        <w:tc>
          <w:tcPr>
            <w:tcW w:type="dxa" w:w="2592"/>
          </w:tcPr>
          <w:p>
            <w:r>
              <w:rPr>
                <w:b/>
              </w:rPr>
              <w:t>Input Sanitization</w:t>
            </w:r>
          </w:p>
        </w:tc>
        <w:tc>
          <w:tcPr>
            <w:tcW w:type="dxa" w:w="3168"/>
          </w:tcPr>
          <w:p>
            <w:r>
              <w:t>Direct sanitize_text_field()</w:t>
            </w:r>
          </w:p>
        </w:tc>
        <w:tc>
          <w:tcPr>
            <w:tcW w:type="dxa" w:w="3600"/>
          </w:tcPr>
          <w:p>
            <w:r>
              <w:t>wp_unslash() + sanitize_text_field() — Prevents double-slashing &amp; strips dangerous octets.</w:t>
            </w:r>
          </w:p>
        </w:tc>
      </w:tr>
      <w:tr>
        <w:tc>
          <w:tcPr>
            <w:tcW w:type="dxa" w:w="2592"/>
          </w:tcPr>
          <w:p>
            <w:r>
              <w:rPr>
                <w:b/>
              </w:rPr>
              <w:t>Class File Loading</w:t>
            </w:r>
          </w:p>
        </w:tc>
        <w:tc>
          <w:tcPr>
            <w:tcW w:type="dxa" w:w="3168"/>
          </w:tcPr>
          <w:p>
            <w:r>
              <w:t>require_once waterfall list</w:t>
            </w:r>
          </w:p>
        </w:tc>
        <w:tc>
          <w:tcPr>
            <w:tcW w:type="dxa" w:w="3600"/>
          </w:tcPr>
          <w:p>
            <w:r>
              <w:t>PSR-4 Namespace Autoloader — Lazy-loads classes on demand, reducing memory overhead.</w:t>
            </w:r>
          </w:p>
        </w:tc>
      </w:tr>
    </w:tbl>
    <w:p/>
    <w:p>
      <w:pPr>
        <w:spacing w:before="320" w:after="120"/>
      </w:pPr>
      <w:r>
        <w:rPr>
          <w:rFonts w:ascii="Calibri Light" w:hAnsi="Calibri Light"/>
          <w:b/>
          <w:color w:val="0B6E4F"/>
          <w:sz w:val="34"/>
        </w:rPr>
        <w:t>3. System Architecture &amp; 8-Step Booking Journey</w:t>
      </w:r>
    </w:p>
    <w:p>
      <w:r>
        <w:t>The booking engine divides responsibilities between Admin Controllers, Data Models, Security Services, and Frontend Shortcodes.</w:t>
      </w:r>
    </w:p>
    <w:p>
      <w:r>
        <w:rPr>
          <w:b/>
        </w:rPr>
        <w:t xml:space="preserve">• 1. Category Selection: </w:t>
      </w:r>
      <w:r>
        <w:t>Patient selects treatment specialty. Filtered by WPML active language.</w:t>
      </w:r>
    </w:p>
    <w:p>
      <w:r>
        <w:rPr>
          <w:b/>
        </w:rPr>
        <w:t xml:space="preserve">• 2. Doctor Selection: </w:t>
      </w:r>
      <w:r>
        <w:t>Displays assigned doctors featuring photos, qualifications, experience, and bio.</w:t>
      </w:r>
    </w:p>
    <w:p>
      <w:r>
        <w:rPr>
          <w:b/>
        </w:rPr>
        <w:t xml:space="preserve">• 3. Service Selection: </w:t>
      </w:r>
      <w:r>
        <w:t>Multi-selection of services with real-time cumulative duration calculation.</w:t>
      </w:r>
    </w:p>
    <w:p>
      <w:r>
        <w:rPr>
          <w:b/>
        </w:rPr>
        <w:t xml:space="preserve">• 4. Date Picker: </w:t>
      </w:r>
      <w:r>
        <w:t>Interactive calendar evaluating doctor working days, holiday overrides, and recurring days off.</w:t>
      </w:r>
    </w:p>
    <w:p>
      <w:r>
        <w:rPr>
          <w:b/>
        </w:rPr>
        <w:t xml:space="preserve">• 5. Time Slot Generation: </w:t>
      </w:r>
      <w:r>
        <w:t>Dynamic slot generator excluding doctor break intervals, passed times, and existing confirmed bookings.</w:t>
      </w:r>
    </w:p>
    <w:p>
      <w:r>
        <w:rPr>
          <w:b/>
        </w:rPr>
        <w:t xml:space="preserve">• 6. Patient Details Form: </w:t>
      </w:r>
      <w:r>
        <w:t>Collects contact info with multibyte length bounds and honeypot spam protection.</w:t>
      </w:r>
    </w:p>
    <w:p>
      <w:r>
        <w:rPr>
          <w:b/>
        </w:rPr>
        <w:t xml:space="preserve">• 7. Appointment Review: </w:t>
      </w:r>
      <w:r>
        <w:t>Summary card confirming all details, doctor, duration, and date/time before commitment.</w:t>
      </w:r>
    </w:p>
    <w:p>
      <w:r>
        <w:rPr>
          <w:b/>
        </w:rPr>
        <w:t xml:space="preserve">• 8. Instant Confirmation: </w:t>
      </w:r>
      <w:r>
        <w:t>Generates unique Booking ID (AB-YYYYMMDD-XXXX), inserts appointment, and dispatches HTML emails.</w:t>
      </w:r>
    </w:p>
    <w:p>
      <w:pPr>
        <w:spacing w:before="320" w:after="120"/>
      </w:pPr>
      <w:r>
        <w:rPr>
          <w:rFonts w:ascii="Calibri Light" w:hAnsi="Calibri Light"/>
          <w:b/>
          <w:color w:val="0B6E4F"/>
          <w:sz w:val="34"/>
        </w:rPr>
        <w:t>4. Database Architecture (10 Custom MySQL Tables)</w:t>
      </w:r>
    </w:p>
    <w:p>
      <w:r>
        <w:t>The plugin installs 10 specialized MySQL tables using dbDelta(). The schema isolates entity models, doctor schedules, availability overrides, translations, and activity logs.</w:t>
      </w:r>
    </w:p>
    <w:tbl>
      <w:tblPr>
        <w:tblW w:type="auto" w:w="0"/>
        <w:jc w:val="center"/>
        <w:tblLook w:firstColumn="1" w:firstRow="1" w:lastColumn="0" w:lastRow="0" w:noHBand="0" w:noVBand="1" w:val="04A0"/>
      </w:tblPr>
      <w:tblGrid>
        <w:gridCol w:w="3120"/>
        <w:gridCol w:w="3120"/>
        <w:gridCol w:w="3120"/>
      </w:tblGrid>
      <w:tr>
        <w:tc>
          <w:tcPr>
            <w:tcW w:type="dxa" w:w="3120"/>
            <w:shd w:fill="0B6E4F"/>
          </w:tcPr>
          <w:p>
            <w:pPr>
              <w:jc w:val="left"/>
            </w:pPr>
            <w:r>
              <w:rPr>
                <w:b/>
                <w:color w:val="FFFFFF"/>
              </w:rPr>
              <w:t>Table Name</w:t>
            </w:r>
          </w:p>
        </w:tc>
        <w:tc>
          <w:tcPr>
            <w:tcW w:type="dxa" w:w="3120"/>
            <w:shd w:fill="0B6E4F"/>
          </w:tcPr>
          <w:p>
            <w:pPr>
              <w:jc w:val="left"/>
            </w:pPr>
            <w:r>
              <w:rPr>
                <w:b/>
                <w:color w:val="FFFFFF"/>
              </w:rPr>
              <w:t>Keys &amp; Indexes</w:t>
            </w:r>
          </w:p>
        </w:tc>
        <w:tc>
          <w:tcPr>
            <w:tcW w:type="dxa" w:w="3120"/>
            <w:shd w:fill="0B6E4F"/>
          </w:tcPr>
          <w:p>
            <w:pPr>
              <w:jc w:val="left"/>
            </w:pPr>
            <w:r>
              <w:rPr>
                <w:b/>
                <w:color w:val="FFFFFF"/>
              </w:rPr>
              <w:t>Functional Purpose</w:t>
            </w:r>
          </w:p>
        </w:tc>
      </w:tr>
      <w:tr>
        <w:tc>
          <w:tcPr>
            <w:tcW w:type="dxa" w:w="3168"/>
          </w:tcPr>
          <w:p>
            <w:r>
              <w:rPr>
                <w:b/>
              </w:rPr>
              <w:t>wp_ab_categories</w:t>
            </w:r>
          </w:p>
        </w:tc>
        <w:tc>
          <w:tcPr>
            <w:tcW w:type="dxa" w:w="2880"/>
          </w:tcPr>
          <w:p>
            <w:r>
              <w:t>id (PK)</w:t>
            </w:r>
          </w:p>
        </w:tc>
        <w:tc>
          <w:tcPr>
            <w:tcW w:type="dxa" w:w="3312"/>
          </w:tcPr>
          <w:p>
            <w:r>
              <w:t>Treatment categories and display ordering</w:t>
            </w:r>
          </w:p>
        </w:tc>
      </w:tr>
      <w:tr>
        <w:tc>
          <w:tcPr>
            <w:tcW w:type="dxa" w:w="3168"/>
          </w:tcPr>
          <w:p>
            <w:r>
              <w:rPr>
                <w:b/>
              </w:rPr>
              <w:t>wp_ab_doctors</w:t>
            </w:r>
          </w:p>
        </w:tc>
        <w:tc>
          <w:tcPr>
            <w:tcW w:type="dxa" w:w="2880"/>
          </w:tcPr>
          <w:p>
            <w:r>
              <w:t>id (PK)</w:t>
            </w:r>
          </w:p>
        </w:tc>
        <w:tc>
          <w:tcPr>
            <w:tcW w:type="dxa" w:w="3312"/>
          </w:tcPr>
          <w:p>
            <w:r>
              <w:t>Doctor profiles, qualifications, experience, email, bio, status</w:t>
            </w:r>
          </w:p>
        </w:tc>
      </w:tr>
      <w:tr>
        <w:tc>
          <w:tcPr>
            <w:tcW w:type="dxa" w:w="3168"/>
          </w:tcPr>
          <w:p>
            <w:r>
              <w:rPr>
                <w:b/>
              </w:rPr>
              <w:t>wp_ab_doctor_categories</w:t>
            </w:r>
          </w:p>
        </w:tc>
        <w:tc>
          <w:tcPr>
            <w:tcW w:type="dxa" w:w="2880"/>
          </w:tcPr>
          <w:p>
            <w:r>
              <w:t>doctor_id, category_id (Composite PK)</w:t>
            </w:r>
          </w:p>
        </w:tc>
        <w:tc>
          <w:tcPr>
            <w:tcW w:type="dxa" w:w="3312"/>
          </w:tcPr>
          <w:p>
            <w:r>
              <w:t>Many-to-many pivot mapping doctors to categories</w:t>
            </w:r>
          </w:p>
        </w:tc>
      </w:tr>
      <w:tr>
        <w:tc>
          <w:tcPr>
            <w:tcW w:type="dxa" w:w="3168"/>
          </w:tcPr>
          <w:p>
            <w:r>
              <w:rPr>
                <w:b/>
              </w:rPr>
              <w:t>wp_ab_services</w:t>
            </w:r>
          </w:p>
        </w:tc>
        <w:tc>
          <w:tcPr>
            <w:tcW w:type="dxa" w:w="2880"/>
          </w:tcPr>
          <w:p>
            <w:r>
              <w:t>id (PK), category_id (FK)</w:t>
            </w:r>
          </w:p>
        </w:tc>
        <w:tc>
          <w:tcPr>
            <w:tcW w:type="dxa" w:w="3312"/>
          </w:tcPr>
          <w:p>
            <w:r>
              <w:t>Treatment services, duration in minutes/hours, category link</w:t>
            </w:r>
          </w:p>
        </w:tc>
      </w:tr>
      <w:tr>
        <w:tc>
          <w:tcPr>
            <w:tcW w:type="dxa" w:w="3168"/>
          </w:tcPr>
          <w:p>
            <w:r>
              <w:rPr>
                <w:b/>
              </w:rPr>
              <w:t>wp_ab_availability</w:t>
            </w:r>
          </w:p>
        </w:tc>
        <w:tc>
          <w:tcPr>
            <w:tcW w:type="dxa" w:w="2880"/>
          </w:tcPr>
          <w:p>
            <w:r>
              <w:t>id (PK), doctor_id (FK)</w:t>
            </w:r>
          </w:p>
        </w:tc>
        <w:tc>
          <w:tcPr>
            <w:tcW w:type="dxa" w:w="3312"/>
          </w:tcPr>
          <w:p>
            <w:r>
              <w:t>Doctor weekly working days, start/end times, break times, slot duration</w:t>
            </w:r>
          </w:p>
        </w:tc>
      </w:tr>
      <w:tr>
        <w:tc>
          <w:tcPr>
            <w:tcW w:type="dxa" w:w="3168"/>
          </w:tcPr>
          <w:p>
            <w:r>
              <w:rPr>
                <w:b/>
              </w:rPr>
              <w:t>wp_ab_holidays</w:t>
            </w:r>
          </w:p>
        </w:tc>
        <w:tc>
          <w:tcPr>
            <w:tcW w:type="dxa" w:w="2880"/>
          </w:tcPr>
          <w:p>
            <w:r>
              <w:t>id (PK), doctor_id (FK)</w:t>
            </w:r>
          </w:p>
        </w:tc>
        <w:tc>
          <w:tcPr>
            <w:tcW w:type="dxa" w:w="3312"/>
          </w:tcPr>
          <w:p>
            <w:r>
              <w:t>Doctor single/range holidays, recurring days off, special working days</w:t>
            </w:r>
          </w:p>
        </w:tc>
      </w:tr>
      <w:tr>
        <w:tc>
          <w:tcPr>
            <w:tcW w:type="dxa" w:w="3168"/>
          </w:tcPr>
          <w:p>
            <w:r>
              <w:rPr>
                <w:b/>
              </w:rPr>
              <w:t>wp_ab_appointments</w:t>
            </w:r>
          </w:p>
        </w:tc>
        <w:tc>
          <w:tcPr>
            <w:tcW w:type="dxa" w:w="2880"/>
          </w:tcPr>
          <w:p>
            <w:r>
              <w:t>id (PK), booking_id (UNIQUE)</w:t>
            </w:r>
          </w:p>
        </w:tc>
        <w:tc>
          <w:tcPr>
            <w:tcW w:type="dxa" w:w="3312"/>
          </w:tcPr>
          <w:p>
            <w:r>
              <w:t>Master appointment records, patient details, date, time, status</w:t>
            </w:r>
          </w:p>
        </w:tc>
      </w:tr>
      <w:tr>
        <w:tc>
          <w:tcPr>
            <w:tcW w:type="dxa" w:w="3168"/>
          </w:tcPr>
          <w:p>
            <w:r>
              <w:rPr>
                <w:b/>
              </w:rPr>
              <w:t>wp_ab_appointment_services</w:t>
            </w:r>
          </w:p>
        </w:tc>
        <w:tc>
          <w:tcPr>
            <w:tcW w:type="dxa" w:w="2880"/>
          </w:tcPr>
          <w:p>
            <w:r>
              <w:t>appointment_id, service_id (Composite PK)</w:t>
            </w:r>
          </w:p>
        </w:tc>
        <w:tc>
          <w:tcPr>
            <w:tcW w:type="dxa" w:w="3312"/>
          </w:tcPr>
          <w:p>
            <w:r>
              <w:t>Pivot table linking appointments to selected services</w:t>
            </w:r>
          </w:p>
        </w:tc>
      </w:tr>
      <w:tr>
        <w:tc>
          <w:tcPr>
            <w:tcW w:type="dxa" w:w="3168"/>
          </w:tcPr>
          <w:p>
            <w:r>
              <w:rPr>
                <w:b/>
              </w:rPr>
              <w:t>wp_ab_translation_map</w:t>
            </w:r>
          </w:p>
        </w:tc>
        <w:tc>
          <w:tcPr>
            <w:tcW w:type="dxa" w:w="2880"/>
          </w:tcPr>
          <w:p>
            <w:r>
              <w:t>id (PK), source_type, source_id, lang</w:t>
            </w:r>
          </w:p>
        </w:tc>
        <w:tc>
          <w:tcPr>
            <w:tcW w:type="dxa" w:w="3312"/>
          </w:tcPr>
          <w:p>
            <w:r>
              <w:t>WPML translation mapping for custom database entities</w:t>
            </w:r>
          </w:p>
        </w:tc>
      </w:tr>
      <w:tr>
        <w:tc>
          <w:tcPr>
            <w:tcW w:type="dxa" w:w="3168"/>
          </w:tcPr>
          <w:p>
            <w:r>
              <w:rPr>
                <w:b/>
              </w:rPr>
              <w:t>wp_ab_activity_logs</w:t>
            </w:r>
          </w:p>
        </w:tc>
        <w:tc>
          <w:tcPr>
            <w:tcW w:type="dxa" w:w="2880"/>
          </w:tcPr>
          <w:p>
            <w:r>
              <w:t>id (PK), user_id, action_type</w:t>
            </w:r>
          </w:p>
        </w:tc>
        <w:tc>
          <w:tcPr>
            <w:tcW w:type="dxa" w:w="3312"/>
          </w:tcPr>
          <w:p>
            <w:r>
              <w:t>Executive audit log table storing diffs, metadata, IP, rendered email HTML</w:t>
            </w:r>
          </w:p>
        </w:tc>
      </w:tr>
    </w:tbl>
    <w:p/>
    <w:p>
      <w:pPr>
        <w:spacing w:before="320" w:after="120"/>
      </w:pPr>
      <w:r>
        <w:rPr>
          <w:rFonts w:ascii="Calibri Light" w:hAnsi="Calibri Light"/>
          <w:b/>
          <w:color w:val="0B6E4F"/>
          <w:sz w:val="34"/>
        </w:rPr>
        <w:t>5. Security Audit &amp; Hardening Implementation Details</w:t>
      </w:r>
    </w:p>
    <w:p>
      <w:r>
        <w:t>Security hardening measures were implemented across four key security pillars to ensure total protection against malicious input payloads, unauthorized access, and automated abuse.</w:t>
      </w:r>
    </w:p>
    <w:p>
      <w:r>
        <w:rPr>
          <w:b/>
        </w:rPr>
        <w:t xml:space="preserve">• Anti-Formula CSV Escaping: </w:t>
      </w:r>
      <w:r>
        <w:t>sanitize_csv_field() neutralizes leading =, +, -, @, \t, \r characters with a single quote ('). Appends UTF-8 BOM bytes (\xEF\xBB\xBF) for clean Excel rendering.</w:t>
      </w:r>
    </w:p>
    <w:p>
      <w:r>
        <w:rPr>
          <w:b/>
        </w:rPr>
        <w:t xml:space="preserve">• Transient IP Rate Limiting: </w:t>
      </w:r>
      <w:r>
        <w:t>Security::check_rate_limit('submit_booking', 5, 300) caps public booking attempts to 5 per 5 minutes per IP address.</w:t>
      </w:r>
    </w:p>
    <w:p>
      <w:r>
        <w:rPr>
          <w:b/>
        </w:rPr>
        <w:t xml:space="preserve">• Multibyte Input Length Validation: </w:t>
      </w:r>
      <w:r>
        <w:t>Validator::max_length() enforces bounds on first_name (50), last_name (50), email (100), phone (30), and message (1000).</w:t>
      </w:r>
    </w:p>
    <w:p>
      <w:r>
        <w:rPr>
          <w:b/>
        </w:rPr>
        <w:t xml:space="preserve">• Audit Logs &amp; Rendered Email Body: </w:t>
      </w:r>
      <w:r>
        <w:t>Activity log drawers display side-by-side diff tables and full rendered HTML email previews for complete transparency.</w:t>
      </w:r>
    </w:p>
    <w:p>
      <w:pPr>
        <w:spacing w:before="320" w:after="120"/>
      </w:pPr>
      <w:r>
        <w:rPr>
          <w:rFonts w:ascii="Calibri Light" w:hAnsi="Calibri Light"/>
          <w:b/>
          <w:color w:val="0B6E4F"/>
          <w:sz w:val="34"/>
        </w:rPr>
        <w:t>6. Sign-off &amp; Document Summary</w:t>
      </w:r>
    </w:p>
    <w:p>
      <w:r>
        <w:t>This document provides the complete conceptual guide, method comparison analysis, and technical specifications for the Healthcare Appointment Booking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