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pPr>
      <w:r w:rsidDel="00000000" w:rsidR="00000000" w:rsidRPr="00000000">
        <w:rPr>
          <w:b w:val="1"/>
          <w:bCs w:val="1"/>
          <w:color w:val="0f4761"/>
          <w:sz w:val="22"/>
          <w:szCs w:val="22"/>
          <w:rtl w:val="0"/>
        </w:rPr>
        <w:t xml:space="preserve">Task 2 - Mean Variance Efficient Frontier – Industry Portfolios </w:t>
      </w:r>
      <w:r w:rsidDel="00000000" w:rsidR="00000000" w:rsidRPr="00000000">
        <w:rPr>
          <w:rFonts w:ascii="Arial" w:cs="Arial" w:eastAsia="Arial" w:hAnsi="Arial"/>
          <w:b w:val="1"/>
          <w:bCs w:val="1"/>
          <w:color w:val="0f4761"/>
          <w:sz w:val="22"/>
          <w:szCs w:val="22"/>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construct the MV efficient frontier for 30 industry portfolios (January 1980–December 2025) using three estimators to assess the impact of shrinkage on portfolio optimisation.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estimate three frontiers: (i) sample estimates of means and covariance, (ii) Bayes-Stein (BS) shrinkage of expected returns towards a common grand mean to reduce estimation noise (Jorion, 1986), and (iii) BS shrinkage combined with Ledoit–Wolf (LW) covariance shrinkage for a well-conditioned covariance matrix.</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each frontier we highlight the GMV and tangency (maximum Sharpe ratio) portfolios, using the average risk-free rate over the sample period.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pStyle w:val="Heading3"/>
        <w:jc w:val="both"/>
        <w:rPr/>
      </w:pPr>
      <w:r w:rsidDel="00000000" w:rsidR="00000000" w:rsidRPr="00000000">
        <w:rPr>
          <w:b w:val="1"/>
          <w:bCs w:val="1"/>
          <w:color w:val="0f4761"/>
          <w:sz w:val="22"/>
          <w:szCs w:val="22"/>
          <w:rtl w:val="0"/>
        </w:rPr>
        <w:t xml:space="preserve">Efficient Frontier Estimation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0240" cy="3547745"/>
            <wp:effectExtent b="0" l="0" r="0" t="0"/>
            <wp:docPr descr="The image displays a comparison of three different estimation methods for portfolio volatility, represented by a graph with three distinct lines: Sample (blue solid), Bayes-Stein Means (red dashed), and BS Means plus Ledoit-Wolf Covariance (green dash-dot).&#10;&#10;AI-generated content may be incorrect." id="2088252920" name="image3.png"/>
            <a:graphic>
              <a:graphicData uri="http://schemas.openxmlformats.org/drawingml/2006/picture">
                <pic:pic>
                  <pic:nvPicPr>
                    <pic:cNvPr descr="The image displays a comparison of three different estimation methods for portfolio volatility, represented by a graph with three distinct lines: Sample (blue solid), Bayes-Stein Means (red dashed), and BS Means plus Ledoit-Wolf Covariance (green dash-dot).&#10;&#10;AI-generated content may be incorrect." id="0" name="image3.png"/>
                    <pic:cNvPicPr preferRelativeResize="0"/>
                  </pic:nvPicPr>
                  <pic:blipFill>
                    <a:blip r:embed="rId7"/>
                    <a:srcRect b="0" l="0" r="0" t="0"/>
                    <a:stretch>
                      <a:fillRect/>
                    </a:stretch>
                  </pic:blipFill>
                  <pic:spPr>
                    <a:xfrm>
                      <a:off x="0" y="0"/>
                      <a:ext cx="5730240" cy="354774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2.1: Industry Portfolios: Mean-Variance Efficient </w:t>
      </w:r>
      <w:r w:rsidDel="00000000" w:rsidR="00000000" w:rsidRPr="00000000">
        <w:rPr>
          <w:rFonts w:ascii="Times New Roman" w:cs="Times New Roman" w:eastAsia="Times New Roman" w:hAnsi="Times New Roman"/>
          <w:i w:val="1"/>
          <w:iCs w:val="1"/>
          <w:sz w:val="22"/>
          <w:szCs w:val="22"/>
          <w:rtl w:val="0"/>
        </w:rPr>
        <w:t xml:space="preserve">Frontiers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(Sample vs BS vs BS+LW)</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sample frontier (blue) shows the most optimistic risk return trade off as it pushes further outwards. This aligns with the observation that mean-variance optimisation may lead to overfitting of the sample data, resulting in excessively aggressive 'optimal' portfolios, which is often referred to as 'error maximisation' (Michaud, 1989). The application of BS shrinkage results in an inward and downward shift of the mean vector (red), indicating a more conservative outlook on expected returns when accounting for estimation error. The inclusion of the LW covariance shrinkage ( green) results in a slight adjustment. Figure 2.1 illustrates that the green and red curves are nearly identical, suggesting that the effect of covariance shrinkage on this dataset is minimal.</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Overall, Figure 2.1 indicates that the primary factor contributing to the disparity among the three frontiers is mean shrinkage, rather than covariance shrinkage. The GMV portfolios exhibit close clustering and the tangency portfolios exhibit significant variation across different estimators. This can be observed as the sample tangency portfolio lies on the blue frontier at a noticeably higher return and volatility. In contrast, the shrinkage-based tangency portfolios are situated on the more conservative red/green frontier, which is associated with lower expected returns. This highlights the sensitivity of Sharpe-maximising portfolios to mean estimation error.</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1">
      <w:pPr>
        <w:pStyle w:val="Heading3"/>
        <w:jc w:val="both"/>
        <w:rPr/>
      </w:pPr>
      <w:r w:rsidDel="00000000" w:rsidR="00000000" w:rsidRPr="00000000">
        <w:rPr>
          <w:b w:val="1"/>
          <w:bCs w:val="1"/>
          <w:color w:val="0f4761"/>
          <w:sz w:val="22"/>
          <w:szCs w:val="22"/>
          <w:rtl w:val="0"/>
        </w:rPr>
        <w:t xml:space="preserve">GMV and Tangency Portfolio statistics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Tables 2.1 and 2.2 report the monthly expected excess returns, volatility and Sharpe ratio for both the GMV and Tangency portfolios under each estimator.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944245"/>
            <wp:effectExtent b="0" l="0" r="0" t="0"/>
            <wp:docPr id="208825292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510" cy="94424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2.1: GMV portfolio statistics (monthly, excess returns)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1510" cy="944245"/>
            <wp:effectExtent b="0" l="0" r="0" t="0"/>
            <wp:docPr id="208825292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10" cy="94424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2.2: Tangency portfolio statistics (monthly, excess returns)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2.1 demonstrates that the GMV portfolio remains consistent regardless of the estimator used. The volatility and Sharpe ratio remain constant at approximately 3.24% and the expected excess returns have minor fluctuations. This suggests that the adjustments for shrinkage have little impact on the portfolios that have the lowest risk profiles. This outcome is expected, as the GMV is influenced by the covariance structure rather than the mean vector.</w:t>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contrast, the results presented in Table 2.2 indicate that the tangency portfolio exhibits a greater sensitivity to shrinkage. Using the sample estimation method, the highest in-sample Sharpe ratio is recorded at 0.3059. This is likely due to upward bias, as the optimiser could depend on the noise in the sample mean estimates. After implementing BS shrinkage the tangency portfolio becomes more conservative, with expected excess returns declining from 1.43% to approximately 0.89%</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observed volatility decreases from 4.86% to an approximate level of 3.54%. ​​The Sharpe ratio decreases to approximately 0.23, corresponding with a decline in "error maximisation." Using shrinkage reduces both anticipated excess returns and volatility, leading to a more stable portfolio, even with a slight decrease in its risk-adjusted return.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pStyle w:val="Heading2"/>
        <w:jc w:val="both"/>
        <w:rPr/>
      </w:pPr>
      <w:r w:rsidDel="00000000" w:rsidR="00000000" w:rsidRPr="00000000">
        <w:rPr>
          <w:b w:val="1"/>
          <w:bCs w:val="1"/>
          <w:color w:val="0f4761"/>
          <w:sz w:val="22"/>
          <w:szCs w:val="22"/>
          <w:rtl w:val="0"/>
        </w:rPr>
        <w:t xml:space="preserve">Task 3 - Mean Variance Efficient Frontier – Stock Portfolios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construct the MV efficient frontier using 30 individual U.S. stocks — one per industry — to assess how individual security risk compares to diversified industry portfolios. To ensure a valid comparison, stock and industry frontiers are estimated over the same sample period, limited by the shortest available stock history.</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1"/>
        <w:tblW w:w="9016.0" w:type="dxa"/>
        <w:jc w:val="left"/>
        <w:tblLayout w:type="fixed"/>
        <w:tblLook w:val="0400"/>
      </w:tblPr>
      <w:tblGrid>
        <w:gridCol w:w="420"/>
        <w:gridCol w:w="2657"/>
        <w:gridCol w:w="848"/>
        <w:gridCol w:w="3982"/>
        <w:gridCol w:w="1109"/>
        <w:tblGridChange w:id="0">
          <w:tblGrid>
            <w:gridCol w:w="420"/>
            <w:gridCol w:w="2657"/>
            <w:gridCol w:w="848"/>
            <w:gridCol w:w="3982"/>
            <w:gridCol w:w="1109"/>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Industry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From</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Food 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Coca-Cola 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Beer &amp; Liquor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Molson Coors Beverage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Tobacco 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Altria Group (Philip Morris)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Recreation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Hasbro Inc.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Printing and Publishing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NYT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New York Times 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Consumer Goods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Procter &amp; Gamble 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Apparel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VFC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VF Corporation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Healthcare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JNJ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Johnson &amp; Johnson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Chemicals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DuPont de Nemours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Textron Inc.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PulteGroup Inc.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Steel Works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Nucor Corporation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Fabricated 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Illinois Tool 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Electrical Equipment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ETN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Eaton Corporation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Automobiles and Trucks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Ford Motor 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Railroad Equipment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Union Pacific Railroad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Industrial Metal Mining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Newmont Mining Corp.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FMC Corporation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Petroleum and Natural Gas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ExxonMobil Corporation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Utilities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Duke Energy Corp.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 1980</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Lumen Technologies (CenturyTel/CenturyLink)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 1980</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Personal and Business 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Automatic Data Processing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Equipment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AAPL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Apple Inc.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Supplies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International Paper 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Transportation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Southwest Airlines 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Wholesale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Sysco Corporation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Walmart Inc.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Restaurants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McDonald's Corporation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Banking and Finance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JPMorgan Chase &amp; 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 1980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3M 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1980</w:t>
            </w: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3.1: Stock Choices</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5730240" cy="3547745"/>
            <wp:effectExtent b="0" l="0" r="0" t="0"/>
            <wp:docPr id="208825292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0240" cy="354774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3.1: Industry Portfolios vs Individual Stocks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3.1 illustrates the efficient frontiers for both the 30 industries and the 30 stocks across the three estimators. The stock frontier is advancing to the right across estimators. This indicates that for a specified expected return, portfolios composed of stocks imply greater volatility. This is anticipated as diversified portfolios show reduced idiosyncratic volatility compared to individual assets; hence, the overall risk level begins from a lower baseline when they are combined (DeMiguel, Garlappi, and Uppal, 2009). The idiosyncratic noise is mitigated within the industry portfolio itself.</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shrinkage data indicate that estimating error is stronger for stocks. The stock mean shrinkage is 62.3%, and the covariance shrinkage is 4.9%, in contrast to the industry mean shrinkage of 51.6% and covariance shrinkage of 1.7%. The higher shrinkage intensity for stocks indicates that expected return estimations are more volatile for individual securities (Chopra, Hensel, and Turner, 1993); hence, Bayes-Stein applies a stronger mean shrinkage. The covariance shrinkage is minimal in both instances, indicating that the sample covariance matrix remains rather constant throughout this extended sample period.</w:t>
        <w:br w:type="textWrapping"/>
        <w:br w:type="textWrapping"/>
        <w:t xml:space="preserve">The GMV portfolio volatility for stocks (3.4694%) slightly exceeds that of industries (3.2219%), due to reduced diversification. The tangency portfolio risk is also similar for both stocks (4.2832%) and industries (4.7052%). The frontier shift and data indicate that industry portfolios exhibit a superior risk-return trade-off compared to portfolios constructed from individual stocks. </w:t>
      </w: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pStyle w:val="Heading2"/>
        <w:spacing w:after="160" w:before="0" w:lineRule="auto"/>
        <w:jc w:val="both"/>
        <w:rPr>
          <w:color w:val="156082"/>
          <w:sz w:val="22"/>
          <w:szCs w:val="22"/>
        </w:rPr>
      </w:pPr>
      <w:r w:rsidDel="00000000" w:rsidR="00000000" w:rsidRPr="00000000">
        <w:rPr>
          <w:b w:val="1"/>
          <w:bCs w:val="1"/>
          <w:color w:val="156082"/>
          <w:sz w:val="22"/>
          <w:szCs w:val="22"/>
          <w:rtl w:val="0"/>
        </w:rPr>
        <w:t xml:space="preserve">Task 4 – Capital Market Line and Comparison with the Risky-Only Frontier</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the 30 industry portfolios and the above risk-free rate, the tangency portfolio was computed for the portfolio that maximises the Sharpe ratio:</w:t>
      </w:r>
    </w:p>
    <w:tbl>
      <w:tblPr>
        <w:tblStyle w:val="Table2"/>
        <w:tblW w:w="4587.0" w:type="dxa"/>
        <w:jc w:val="left"/>
        <w:tblLayout w:type="fixed"/>
        <w:tblLook w:val="0400"/>
      </w:tblPr>
      <w:tblGrid>
        <w:gridCol w:w="2803"/>
        <w:gridCol w:w="1784"/>
        <w:tblGridChange w:id="0">
          <w:tblGrid>
            <w:gridCol w:w="2803"/>
            <w:gridCol w:w="1784"/>
          </w:tblGrid>
        </w:tblGridChange>
      </w:tblGrid>
      <w:tr>
        <w:trPr>
          <w:cantSplit w:val="0"/>
          <w:trHeight w:val="274"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Metric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Value</w:t>
            </w:r>
          </w:p>
        </w:tc>
      </w:tr>
      <w:tr>
        <w:trPr>
          <w:cantSplit w:val="0"/>
          <w:trHeight w:val="27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Tangency portfolio return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1.7627% / month</w:t>
            </w:r>
            <w:r w:rsidDel="00000000" w:rsidR="00000000" w:rsidRPr="00000000">
              <w:rPr>
                <w:rtl w:val="0"/>
              </w:rPr>
            </w:r>
          </w:p>
        </w:tc>
      </w:tr>
      <w:tr>
        <w:trPr>
          <w:cantSplit w:val="0"/>
          <w:trHeight w:val="27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Tangency portfolio volatility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4.6842% / month</w:t>
            </w:r>
            <w:r w:rsidDel="00000000" w:rsidR="00000000" w:rsidRPr="00000000">
              <w:rPr>
                <w:rtl w:val="0"/>
              </w:rPr>
            </w:r>
          </w:p>
        </w:tc>
      </w:tr>
      <w:tr>
        <w:trPr>
          <w:cantSplit w:val="0"/>
          <w:trHeight w:val="27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Risk-free rate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0.3297% / month</w:t>
            </w:r>
            <w:r w:rsidDel="00000000" w:rsidR="00000000" w:rsidRPr="00000000">
              <w:rPr>
                <w:rtl w:val="0"/>
              </w:rPr>
            </w:r>
          </w:p>
        </w:tc>
      </w:tr>
      <w:tr>
        <w:trPr>
          <w:cantSplit w:val="0"/>
          <w:trHeight w:val="27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Maximum Sharpe ratio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0.3059</w:t>
            </w: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4.1: Key Results</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CML slope (SR = 0.306) represents the highest reward-to-risk ratio achievable. The tangency portfolio lies on the risky frontier at σ = 4.68%, confirming internal consistency.</w:t>
      </w:r>
    </w:p>
    <w:tbl>
      <w:tblPr>
        <w:tblStyle w:val="Table3"/>
        <w:tblW w:w="7710.0" w:type="dxa"/>
        <w:jc w:val="left"/>
        <w:tblLayout w:type="fixed"/>
        <w:tblLook w:val="0400"/>
      </w:tblPr>
      <w:tblGrid>
        <w:gridCol w:w="3525"/>
        <w:gridCol w:w="2040"/>
        <w:gridCol w:w="2145"/>
        <w:tblGridChange w:id="0">
          <w:tblGrid>
            <w:gridCol w:w="3525"/>
            <w:gridCol w:w="2040"/>
            <w:gridCol w:w="2145"/>
          </w:tblGrid>
        </w:tblGridChange>
      </w:tblGrid>
      <w:tr>
        <w:trPr>
          <w:cantSplit w:val="0"/>
          <w:trHeight w:val="27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Metric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Risky Frontier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CML</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Frontier shape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Curved (hyperbola)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Straight line</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Minimum volatility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(hold RF only)</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at σ = 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available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0.3297%</w:t>
            </w:r>
          </w:p>
        </w:tc>
      </w:tr>
      <w:tr>
        <w:trPr>
          <w:cantSplit w:val="0"/>
          <w:trHeight w:val="29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Tangency return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1.7627%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1.7627%</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Tangency volatility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4.6842%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4.6842%</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Maximum Sharpe ratio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0.3059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0.3059</w:t>
            </w:r>
          </w:p>
        </w:tc>
      </w:tr>
      <w:tr>
        <w:trPr>
          <w:cantSplit w:val="0"/>
          <w:trHeight w:val="29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at GMV volatility (3.24%)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1.3201%</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CML advantage at GMV vol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+0.3069pp</w:t>
            </w:r>
            <w:r w:rsidDel="00000000" w:rsidR="00000000" w:rsidRPr="00000000">
              <w:rPr>
                <w:rtl w:val="0"/>
              </w:rPr>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 at median vol (4.21%)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1.6052%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1.6186%</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CML advantage at median vol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+0.0134pp</w:t>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4.2: Comparison: CML vs Risky-Only Efficient Frontier</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3660775"/>
            <wp:effectExtent b="0" l="0" r="0" t="0"/>
            <wp:docPr descr="The image depicts a Capital Market Line (CML) illustrating the efficient frontier, showing a risk-free rate of 0.33%, a Sharpe ratio of 0.306, and various portfolio options with their corresponding expected returns and volatilities.&#10;&#10;AI-generated content may be incorrect." id="2088252923" name="image2.png"/>
            <a:graphic>
              <a:graphicData uri="http://schemas.openxmlformats.org/drawingml/2006/picture">
                <pic:pic>
                  <pic:nvPicPr>
                    <pic:cNvPr descr="The image depicts a Capital Market Line (CML) illustrating the efficient frontier, showing a risk-free rate of 0.33%, a Sharpe ratio of 0.306, and various portfolio options with their corresponding expected returns and volatilities.&#10;&#10;AI-generated content may be incorrect." id="0" name="image2.png"/>
                    <pic:cNvPicPr preferRelativeResize="0"/>
                  </pic:nvPicPr>
                  <pic:blipFill>
                    <a:blip r:embed="rId11"/>
                    <a:srcRect b="0" l="0" r="0" t="0"/>
                    <a:stretch>
                      <a:fillRect/>
                    </a:stretch>
                  </pic:blipFill>
                  <pic:spPr>
                    <a:xfrm>
                      <a:off x="0" y="0"/>
                      <a:ext cx="5731510" cy="36607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4.1: Capital Market Line (CML)</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Introducing the risk-free asset linearises the frontier into the CML, with every feasible portfolio now a combination of the tangency portfolio and the risk-free asset (Tobin, 1958). The CML strictly dominates the risky-only frontier: at any given volatility level a higher expected return is available. The tangency portfolio (SR = 0.306) emerges as the unique optimal risky portfolio, consistent with Tobin's separation principle and Markowitz (1959).</w:t>
      </w:r>
    </w:p>
    <w:p w:rsidR="00000000" w:rsidDel="00000000" w:rsidP="00000000" w:rsidRDefault="00000000" w:rsidRPr="00000000" w14:paraId="000000F7">
      <w:pPr>
        <w:pStyle w:val="Heading2"/>
        <w:spacing w:after="160" w:before="0" w:lineRule="auto"/>
        <w:jc w:val="both"/>
        <w:rPr>
          <w:color w:val="156082"/>
          <w:sz w:val="22"/>
          <w:szCs w:val="22"/>
        </w:rPr>
      </w:pPr>
      <w:r w:rsidDel="00000000" w:rsidR="00000000" w:rsidRPr="00000000">
        <w:rPr>
          <w:b w:val="1"/>
          <w:bCs w:val="1"/>
          <w:color w:val="156082"/>
          <w:sz w:val="22"/>
          <w:szCs w:val="22"/>
          <w:rtl w:val="0"/>
        </w:rPr>
        <w:t xml:space="preserve">Task 5 – Fama–French Factor Models</w:t>
      </w:r>
      <w:r w:rsidDel="00000000" w:rsidR="00000000" w:rsidRPr="00000000">
        <w:rPr>
          <w:rtl w:val="0"/>
        </w:rPr>
      </w:r>
    </w:p>
    <w:p w:rsidR="00000000" w:rsidDel="00000000" w:rsidP="00000000" w:rsidRDefault="00000000" w:rsidRPr="00000000" w14:paraId="000000F8">
      <w:pPr>
        <w:pStyle w:val="Heading2"/>
        <w:spacing w:after="280" w:before="280" w:lineRule="auto"/>
        <w:jc w:val="both"/>
        <w:rPr>
          <w:b w:val="1"/>
          <w:bCs w:val="1"/>
          <w:color w:val="156082"/>
          <w:sz w:val="22"/>
          <w:szCs w:val="22"/>
        </w:rPr>
      </w:pPr>
      <w:bookmarkStart w:colFirst="0" w:colLast="0" w:name="_heading=h.1y9tlno7843h" w:id="0"/>
      <w:bookmarkEnd w:id="0"/>
      <w:r w:rsidDel="00000000" w:rsidR="00000000" w:rsidRPr="00000000">
        <w:rPr>
          <w:b w:val="1"/>
          <w:bCs w:val="1"/>
          <w:color w:val="156082"/>
          <w:sz w:val="22"/>
          <w:szCs w:val="22"/>
          <w:rtl w:val="0"/>
        </w:rPr>
        <w:t xml:space="preserve">5.1 Factor Opportunity Sets (Excess Return Framework)</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Fama–French factors are reported as excess returns, so industry returns are also converted to excess returns to allow a like-for-like comparison (Fama and French, 1993; 2015). All CMLs pass through the origin and their slopes equal the tangency Sharpe ratio (Sharpe, 1966).</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3660775"/>
            <wp:effectExtent b="0" l="0" r="0" t="0"/>
            <wp:docPr descr="The image depicts a comparison of various portfolios' excess returns against the CML (Capital Market Line) and their risk levels, showcasing their performance in terms of risk and return.&#10;&#10;AI-generated content may be incorrect." id="2088252926" name="image9.png"/>
            <a:graphic>
              <a:graphicData uri="http://schemas.openxmlformats.org/drawingml/2006/picture">
                <pic:pic>
                  <pic:nvPicPr>
                    <pic:cNvPr descr="The image depicts a comparison of various portfolios' excess returns against the CML (Capital Market Line) and their risk levels, showcasing their performance in terms of risk and return.&#10;&#10;AI-generated content may be incorrect." id="0" name="image9.png"/>
                    <pic:cNvPicPr preferRelativeResize="0"/>
                  </pic:nvPicPr>
                  <pic:blipFill>
                    <a:blip r:embed="rId12"/>
                    <a:srcRect b="0" l="0" r="0" t="0"/>
                    <a:stretch>
                      <a:fillRect/>
                    </a:stretch>
                  </pic:blipFill>
                  <pic:spPr>
                    <a:xfrm>
                      <a:off x="0" y="0"/>
                      <a:ext cx="5731510" cy="366077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Figure 5.1: Factor Models Opportunity Set Comparison</w:t>
      </w:r>
      <w:r w:rsidDel="00000000" w:rsidR="00000000" w:rsidRPr="00000000">
        <w:rPr>
          <w:rtl w:val="0"/>
        </w:rPr>
      </w:r>
    </w:p>
    <w:tbl>
      <w:tblPr>
        <w:tblStyle w:val="Table4"/>
        <w:tblW w:w="9016.0" w:type="dxa"/>
        <w:jc w:val="left"/>
        <w:tblLayout w:type="fixed"/>
        <w:tblLook w:val="0400"/>
      </w:tblPr>
      <w:tblGrid>
        <w:gridCol w:w="2118"/>
        <w:gridCol w:w="1482"/>
        <w:gridCol w:w="1245"/>
        <w:gridCol w:w="968"/>
        <w:gridCol w:w="1318"/>
        <w:gridCol w:w="1081"/>
        <w:gridCol w:w="804"/>
        <w:tblGridChange w:id="0">
          <w:tblGrid>
            <w:gridCol w:w="2118"/>
            <w:gridCol w:w="1482"/>
            <w:gridCol w:w="1245"/>
            <w:gridCol w:w="968"/>
            <w:gridCol w:w="1318"/>
            <w:gridCol w:w="1081"/>
            <w:gridCol w:w="80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Opportunity Set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GMV E[Re]%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GMV Vol%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GMV SR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Tan E[Re]%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Tan Vol%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Tan SR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30 Industries (Excess)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0.6826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3.2279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0.2115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1.4281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4.6667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0.3060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FF3 Factors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0.3329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2.0603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0.1616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0.5592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2.8496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0.1962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FF5 Factors (2×3)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0.3153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1.3255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0.2379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0.3797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1.2317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0.3083</w:t>
            </w:r>
          </w:p>
        </w:tc>
      </w:tr>
    </w:tbl>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Table 5.1: Key findings of Factor Models Opportunity Set Comparison</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FF5 achieves the highest Sharpe ratio (0.308), marginally above industries (0.306), while FF3 lags at 0.196. Adding RMW and CMA to the factor set meaningfully expands the opportunity set, confirming that FF5 dominates FF3 in mean-variance terms. However, the FF5 advantage over the 30-industry universe is economically small, suggesting that broad industry allocation already captures most of the attainable efficiency.</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industry tangency Sharpe ratio in excess return space (0.306) is negligibly different from the total return estimate (0.306), confirming Tobin's (1958) result that subtracting a constant risk-free rate does not alter optimal weights or Sharpe ratios.</w:t>
      </w:r>
    </w:p>
    <w:p w:rsidR="00000000" w:rsidDel="00000000" w:rsidP="00000000" w:rsidRDefault="00000000" w:rsidRPr="00000000" w14:paraId="0000011B">
      <w:pPr>
        <w:pStyle w:val="Heading2"/>
        <w:jc w:val="both"/>
        <w:rPr/>
      </w:pPr>
      <w:r w:rsidDel="00000000" w:rsidR="00000000" w:rsidRPr="00000000">
        <w:rPr>
          <w:b w:val="1"/>
          <w:bCs w:val="1"/>
          <w:color w:val="0f4761"/>
          <w:sz w:val="22"/>
          <w:szCs w:val="22"/>
          <w:rtl w:val="0"/>
        </w:rPr>
        <w:t xml:space="preserve">Task 6 – Mean Variance Efficient Frontier – Investable ETF Proxies</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construct MV efficient frontiers using investable ETFs as practical proxies for FF factors (Faff, 2003). Panel A: FF3 proxies (SPY, IWM, IWD), 2005–2025 (T = 251); Panel B: FF5 proxies (adding QUAL, USMV), 2014–2025 (T = 143).</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ETF proxies used are summarised in Table 6.1.</w:t>
      </w:r>
      <w:r w:rsidDel="00000000" w:rsidR="00000000" w:rsidRPr="00000000">
        <w:rPr>
          <w:rtl w:val="0"/>
        </w:rPr>
      </w:r>
    </w:p>
    <w:tbl>
      <w:tblPr>
        <w:tblStyle w:val="Table5"/>
        <w:tblW w:w="5791.0" w:type="dxa"/>
        <w:jc w:val="left"/>
        <w:tblLayout w:type="fixed"/>
        <w:tblLook w:val="0400"/>
      </w:tblPr>
      <w:tblGrid>
        <w:gridCol w:w="1280"/>
        <w:gridCol w:w="1664"/>
        <w:gridCol w:w="1995"/>
        <w:gridCol w:w="852"/>
        <w:tblGridChange w:id="0">
          <w:tblGrid>
            <w:gridCol w:w="1280"/>
            <w:gridCol w:w="1664"/>
            <w:gridCol w:w="1995"/>
            <w:gridCol w:w="8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Paper Portfolio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ETF Proxy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Ticker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Mkt-RF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S&amp;P 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Russell 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IWM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Russell 1000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IWD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Profitability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Quality Factor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Investment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Minimum Volatility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USMV</w:t>
            </w:r>
            <w:r w:rsidDel="00000000" w:rsidR="00000000" w:rsidRPr="00000000">
              <w:rPr>
                <w:rtl w:val="0"/>
              </w:rPr>
            </w:r>
          </w:p>
        </w:tc>
      </w:tr>
    </w:tbl>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6.1: Investable ETF proxies for FF factors</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ETF returns are converted to excess returns to be consistent with FF factor series, reported in excess return format.</w:t>
      </w:r>
      <w:r w:rsidDel="00000000" w:rsidR="00000000" w:rsidRPr="00000000">
        <w:rPr>
          <w:rtl w:val="0"/>
        </w:rPr>
      </w:r>
    </w:p>
    <w:p w:rsidR="00000000" w:rsidDel="00000000" w:rsidP="00000000" w:rsidRDefault="00000000" w:rsidRPr="00000000" w14:paraId="00000138">
      <w:pPr>
        <w:pStyle w:val="Heading3"/>
        <w:jc w:val="both"/>
        <w:rPr/>
      </w:pPr>
      <w:r w:rsidDel="00000000" w:rsidR="00000000" w:rsidRPr="00000000">
        <w:rPr>
          <w:b w:val="1"/>
          <w:bCs w:val="1"/>
          <w:color w:val="0f4761"/>
          <w:sz w:val="22"/>
          <w:szCs w:val="22"/>
          <w:rtl w:val="0"/>
        </w:rPr>
        <w:t xml:space="preserve">Efficient Frontier Estimation</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drawing>
          <wp:inline distB="0" distT="0" distL="0" distR="0">
            <wp:extent cx="5731510" cy="3665220"/>
            <wp:effectExtent b="0" l="0" r="0" t="0"/>
            <wp:docPr descr="The diagram compares the risk and return of theoretical factors, ETF proxies, and a risk-free portfolio over a period from 2005 to 2025, highlighting the superior performance of the CML-ETF proxy over time.&#10;&#10;AI-generated content may be incorrect." id="2088252925" name="image10.png"/>
            <a:graphic>
              <a:graphicData uri="http://schemas.openxmlformats.org/drawingml/2006/picture">
                <pic:pic>
                  <pic:nvPicPr>
                    <pic:cNvPr descr="The diagram compares the risk and return of theoretical factors, ETF proxies, and a risk-free portfolio over a period from 2005 to 2025, highlighting the superior performance of the CML-ETF proxy over time.&#10;&#10;AI-generated content may be incorrect." id="0" name="image10.png"/>
                    <pic:cNvPicPr preferRelativeResize="0"/>
                  </pic:nvPicPr>
                  <pic:blipFill>
                    <a:blip r:embed="rId13"/>
                    <a:srcRect b="0" l="0" r="0" t="0"/>
                    <a:stretch>
                      <a:fillRect/>
                    </a:stretch>
                  </pic:blipFill>
                  <pic:spPr>
                    <a:xfrm>
                      <a:off x="0" y="0"/>
                      <a:ext cx="5731510" cy="366522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6.1: Panel A – FF3 Proxies vs Theoretical Factors (2005–2025, T = 251)</w:t>
      </w:r>
      <w:r w:rsidDel="00000000" w:rsidR="00000000" w:rsidRPr="00000000">
        <w:rPr>
          <w:rtl w:val="0"/>
        </w:rPr>
      </w:r>
    </w:p>
    <w:p w:rsidR="00000000" w:rsidDel="00000000" w:rsidP="00000000" w:rsidRDefault="00000000" w:rsidRPr="00000000" w14:paraId="0000013C">
      <w:pPr>
        <w:jc w:val="both"/>
        <w:rPr>
          <w:i w:val="1"/>
          <w:iCs w:val="1"/>
          <w:sz w:val="19"/>
          <w:szCs w:val="19"/>
        </w:rPr>
      </w:pPr>
      <w:r w:rsidDel="00000000" w:rsidR="00000000" w:rsidRPr="00000000">
        <w:rPr>
          <w:i w:val="1"/>
          <w:iCs w:val="1"/>
          <w:sz w:val="19"/>
          <w:szCs w:val="19"/>
        </w:rPr>
        <w:drawing>
          <wp:inline distB="0" distT="0" distL="0" distR="0">
            <wp:extent cx="5731510" cy="3665220"/>
            <wp:effectExtent b="0" l="0" r="0" t="0"/>
            <wp:docPr descr="The image displays a comparison of five theoretical factors, CML, and ETF proxies against their expected excess returns over a period from 2014 to 2025, with a focus on portfolio volatility.&#10;&#10;AI-generated content may be incorrect." id="2088252928" name="image1.png"/>
            <a:graphic>
              <a:graphicData uri="http://schemas.openxmlformats.org/drawingml/2006/picture">
                <pic:pic>
                  <pic:nvPicPr>
                    <pic:cNvPr descr="The image displays a comparison of five theoretical factors, CML, and ETF proxies against their expected excess returns over a period from 2014 to 2025, with a focus on portfolio volatility.&#10;&#10;AI-generated content may be incorrect." id="0" name="image1.png"/>
                    <pic:cNvPicPr preferRelativeResize="0"/>
                  </pic:nvPicPr>
                  <pic:blipFill>
                    <a:blip r:embed="rId14"/>
                    <a:srcRect b="0" l="0" r="0" t="0"/>
                    <a:stretch>
                      <a:fillRect/>
                    </a:stretch>
                  </pic:blipFill>
                  <pic:spPr>
                    <a:xfrm>
                      <a:off x="0" y="0"/>
                      <a:ext cx="5731510" cy="366522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6.2: Panel B – FF5 Proxies vs Theoretical Factors (2014–2025, T = 143)</w:t>
      </w: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r>
    </w:p>
    <w:tbl>
      <w:tblPr>
        <w:tblStyle w:val="Table6"/>
        <w:tblW w:w="6761.0" w:type="dxa"/>
        <w:jc w:val="left"/>
        <w:tblLayout w:type="fixed"/>
        <w:tblLook w:val="0400"/>
      </w:tblPr>
      <w:tblGrid>
        <w:gridCol w:w="2254"/>
        <w:gridCol w:w="2253"/>
        <w:gridCol w:w="2254"/>
        <w:tblGridChange w:id="0">
          <w:tblGrid>
            <w:gridCol w:w="2254"/>
            <w:gridCol w:w="2253"/>
            <w:gridCol w:w="22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ETF Proxy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Correlation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Mkt-RF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SMB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IWM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0.693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HML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IWD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RMW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0.089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USMV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jc w:val="both"/>
              <w:rPr>
                <w:rFonts w:ascii="Times New Roman" w:cs="Times New Roman" w:eastAsia="Times New Roman" w:hAnsi="Times New Roman"/>
                <w:sz w:val="22"/>
                <w:szCs w:val="22"/>
              </w:rPr>
            </w:pPr>
            <w:sdt>
              <w:sdtPr>
                <w:id w:val="173525254"/>
                <w:tag w:val="goog_rdk_0"/>
              </w:sdtPr>
              <w:sdtContent>
                <w:r w:rsidDel="00000000" w:rsidR="00000000" w:rsidRPr="00000000">
                  <w:rPr>
                    <w:rFonts w:ascii="Gungsuh" w:cs="Gungsuh" w:eastAsia="Gungsuh" w:hAnsi="Gungsuh"/>
                    <w:sz w:val="22"/>
                    <w:szCs w:val="22"/>
                    <w:rtl w:val="0"/>
                  </w:rPr>
                  <w:t xml:space="preserve">−0.069</w:t>
                </w:r>
              </w:sdtContent>
            </w:sdt>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6.2: Correlation Between ETF Proxies and Theoretical FF Factors (Full matched sample)</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6.2 reveals a sharp divergence in proxy quality. SPY tracks the market factor with near-perfect correlation (ρ = 0.995). IWM moderately approximates SMB (ρ = 0.690) by capturing the long leg of the size premium. However, IWD weakly tracks HML (ρ = 0.367), while QUAL and USMV bear essentially no resemblance to the theoretical RMW and CMA factors (ρ &lt; 0.10), reflecting the fundamental difference between long-only ETFs and the long–short zero-investment factor construction (Fama and French, 2015).</w:t>
      </w: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r>
    </w:p>
    <w:tbl>
      <w:tblPr>
        <w:tblStyle w:val="Table7"/>
        <w:tblW w:w="9016.0" w:type="dxa"/>
        <w:jc w:val="left"/>
        <w:tblLayout w:type="fixed"/>
        <w:tblLook w:val="0400"/>
      </w:tblPr>
      <w:tblGrid>
        <w:gridCol w:w="1289"/>
        <w:gridCol w:w="1288"/>
        <w:gridCol w:w="1287"/>
        <w:gridCol w:w="1288"/>
        <w:gridCol w:w="1288"/>
        <w:gridCol w:w="1288"/>
        <w:gridCol w:w="1288"/>
        <w:tblGridChange w:id="0">
          <w:tblGrid>
            <w:gridCol w:w="1289"/>
            <w:gridCol w:w="1288"/>
            <w:gridCol w:w="1287"/>
            <w:gridCol w:w="1288"/>
            <w:gridCol w:w="1288"/>
            <w:gridCol w:w="1288"/>
            <w:gridCol w:w="12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Portfolio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Tan 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Tan Vol%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GMV 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SR Gap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Theoretical FF3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2005–2025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ETF FF3 Proxies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2005–2025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0.186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Theoretical FF5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2014–2025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0.169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ETF FF5 Proxies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2014–2025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+0.025</w:t>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6.3: Efficient Frontier Comparison — Theoretical Factors vs ETF Proxies</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6.3 shows a counterintuitive result: ETF proxies achieve higher tangency Sharpe ratios than theoretical factors in both panels (Panel A: 0.227 vs 0.208; Panel B: 0.326 vs 0.301). This arises because the long–short factors delivered subdued mean excess returns over these specific windows, while the ETF universe benefited from the 2005–2025 equity bull market. This is not evidence of genuine ETF superiority but reflects the sensitivity of in-sample Sharpe comparisons to the evaluation window (Michaud, 1989; DeMiguel et al., 2009).</w:t>
      </w:r>
      <w:r w:rsidDel="00000000" w:rsidR="00000000" w:rsidRPr="00000000">
        <w:rPr>
          <w:rtl w:val="0"/>
        </w:rPr>
      </w:r>
    </w:p>
    <w:p w:rsidR="00000000" w:rsidDel="00000000" w:rsidP="00000000" w:rsidRDefault="00000000" w:rsidRPr="00000000" w14:paraId="00000179">
      <w:pPr>
        <w:pStyle w:val="Heading2"/>
        <w:jc w:val="both"/>
        <w:rPr/>
      </w:pPr>
      <w:r w:rsidDel="00000000" w:rsidR="00000000" w:rsidRPr="00000000">
        <w:rPr>
          <w:b w:val="1"/>
          <w:bCs w:val="1"/>
          <w:color w:val="0f4761"/>
          <w:sz w:val="22"/>
          <w:szCs w:val="22"/>
          <w:rtl w:val="0"/>
        </w:rPr>
        <w:t xml:space="preserve">Task 7 – In-Sample and Out-of-Sample Performance Evaluation</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this section, we evaluate whether the portfolios remain optimal out-of-sample compared to in-sample. Mean–variance optimisation is highly sensitive to error maximisation, particularly in expected return estimates (Michaud, 1989; Chopra, Hensel and Turner, 1993). Therefore, portfolios that appear efficient in-sample may fail to remain efficient when evaluated on new data.</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divide the full sample into two groups: January 1980–December 2002 (in-sample) and January 2003–December 2025 (out-of-sample). Efficient frontiers are first estimated in-sample for the 30 industry portfolios and the Fama–French 5 factors, including the risk-free asset. From each frontier, the Global Minimum Variance (GMV) and Tangency portfolios are selected and then evaluated out-of-sample using fixed weights.</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drawing>
          <wp:inline distB="0" distT="0" distL="0" distR="0">
            <wp:extent cx="5731510" cy="2324735"/>
            <wp:effectExtent b="0" l="0" r="0" t="0"/>
            <wp:docPr descr="The image appears to be a graphical representation of performance metrics for various portfolio strategies, including in-sample efficient frontiers, out-of-sample (OOS) realized performance, and different portfolio selection methods such as Sample, Tangency, and Balance-Size-Weight (BS+LW) strategies. The graph includes metrics like SR (Sharpe Ratio), mean returns, and volatility, comparing different portfolios from 1980 to 2025.&#10;&#10;AI-generated content may be incorrect." id="2088252927" name="image8.png"/>
            <a:graphic>
              <a:graphicData uri="http://schemas.openxmlformats.org/drawingml/2006/picture">
                <pic:pic>
                  <pic:nvPicPr>
                    <pic:cNvPr descr="The image appears to be a graphical representation of performance metrics for various portfolio strategies, including in-sample efficient frontiers, out-of-sample (OOS) realized performance, and different portfolio selection methods such as Sample, Tangency, and Balance-Size-Weight (BS+LW) strategies. The graph includes metrics like SR (Sharpe Ratio), mean returns, and volatility, comparing different portfolios from 1980 to 2025.&#10;&#10;AI-generated content may be incorrect." id="0" name="image8.png"/>
                    <pic:cNvPicPr preferRelativeResize="0"/>
                  </pic:nvPicPr>
                  <pic:blipFill>
                    <a:blip r:embed="rId15"/>
                    <a:srcRect b="0" l="0" r="0" t="0"/>
                    <a:stretch>
                      <a:fillRect/>
                    </a:stretch>
                  </pic:blipFill>
                  <pic:spPr>
                    <a:xfrm>
                      <a:off x="0" y="0"/>
                      <a:ext cx="5731510" cy="232473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7.1: In-Sample vs Out-of-Sample Efficient Frontier – 30 Industry Portfolios</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Figure 7.1, the tangency portfolios decline heavily in Sharpe ratio during the out-of-sample period. This reflects overfitting to noisy mean estimates in the first period, a phenomenon commonly referred to as estimation error. However, the GMV portfolio states greater stability across subperiods, as it relies primarily on the covariance matrix rather than expected returns, which are more difficult to estimate accurately. Table 7.1 reports the full IS vs OOS Sharpe ratio comparison and statistical test results for both universes.</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41500523"/>
          <w:tag w:val="goog_rdk_1"/>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Figure 7.2 repeats the analysis for the FF5 factor portfolios. All nine IS-optimised portfolios fall below the OOS frontier (9/9), consistent with error maximisation across both universes. The FF5 Sharpe ratios exhibit more uniform IS→OOS decay (ΔSR ≈ −0.20 across all estimators) than the industry portfolios, reflecting the smaller FF5 universe (N = 5, T = 276) where the T/N ratio still leaves estimation error as the dominant force.</w:t>
          </w:r>
        </w:sdtContent>
      </w:sdt>
      <w:r w:rsidDel="00000000" w:rsidR="00000000" w:rsidRPr="00000000">
        <w:rPr>
          <w:rtl w:val="0"/>
        </w:rPr>
      </w:r>
    </w:p>
    <w:p w:rsidR="00000000" w:rsidDel="00000000" w:rsidP="00000000" w:rsidRDefault="00000000" w:rsidRPr="00000000" w14:paraId="00000180">
      <w:pPr>
        <w:spacing w:line="24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Pr>
        <w:drawing>
          <wp:inline distB="0" distT="0" distL="0" distR="0">
            <wp:extent cx="5731200" cy="2324100"/>
            <wp:effectExtent b="0" l="0" r="0" t="0"/>
            <wp:docPr descr="The image displays a comparison of various portfolio performance metrics, including expected excess return, realized mean excess return, volatility, and realized volatility, against a frontier model for a specific time period.&#10;&#10;AI-generated content may be incorrect." id="2088252932" name="image7.png"/>
            <a:graphic>
              <a:graphicData uri="http://schemas.openxmlformats.org/drawingml/2006/picture">
                <pic:pic>
                  <pic:nvPicPr>
                    <pic:cNvPr descr="The image displays a comparison of various portfolio performance metrics, including expected excess return, realized mean excess return, volatility, and realized volatility, against a frontier model for a specific time period.&#10;&#10;AI-generated content may be incorrect." id="0" name="image7.png"/>
                    <pic:cNvPicPr preferRelativeResize="0"/>
                  </pic:nvPicPr>
                  <pic:blipFill>
                    <a:blip r:embed="rId16"/>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7.2: FF5 Factor Portfolios – In-Sample vs Out-of-Sample (1980–2002 / 2003–2025)</w:t>
      </w:r>
      <w:r w:rsidDel="00000000" w:rsidR="00000000" w:rsidRPr="00000000">
        <w:rPr>
          <w:rtl w:val="0"/>
        </w:rPr>
      </w:r>
    </w:p>
    <w:p w:rsidR="00000000" w:rsidDel="00000000" w:rsidP="00000000" w:rsidRDefault="00000000" w:rsidRPr="00000000" w14:paraId="00000182">
      <w:pPr>
        <w:spacing w:line="24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9016.0" w:type="dxa"/>
        <w:jc w:val="left"/>
        <w:tblLayout w:type="fixed"/>
        <w:tblLook w:val="0400"/>
      </w:tblPr>
      <w:tblGrid>
        <w:gridCol w:w="1804"/>
        <w:gridCol w:w="1803"/>
        <w:gridCol w:w="1803"/>
        <w:gridCol w:w="1803"/>
        <w:gridCol w:w="1803"/>
        <w:tblGridChange w:id="0">
          <w:tblGrid>
            <w:gridCol w:w="1804"/>
            <w:gridCol w:w="1803"/>
            <w:gridCol w:w="1803"/>
            <w:gridCol w:w="1803"/>
            <w:gridCol w:w="180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Portfolio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SR (IS)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SR (OOS)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ΔSR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LW p-value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Samp — Tangency (30 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rFonts w:ascii="Times New Roman" w:cs="Times New Roman" w:eastAsia="Times New Roman" w:hAnsi="Times New Roman"/>
                <w:sz w:val="22"/>
                <w:szCs w:val="22"/>
              </w:rPr>
            </w:pPr>
            <w:sdt>
              <w:sdtPr>
                <w:id w:val="-1027769973"/>
                <w:tag w:val="goog_rdk_2"/>
              </w:sdtPr>
              <w:sdtContent>
                <w:r w:rsidDel="00000000" w:rsidR="00000000" w:rsidRPr="00000000">
                  <w:rPr>
                    <w:rFonts w:ascii="Gungsuh" w:cs="Gungsuh" w:eastAsia="Gungsuh" w:hAnsi="Gungsuh"/>
                    <w:sz w:val="22"/>
                    <w:szCs w:val="22"/>
                    <w:rtl w:val="0"/>
                  </w:rPr>
                  <w:t xml:space="preserve">−0.255</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0.001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(ii) BS — Tangency (30 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rFonts w:ascii="Times New Roman" w:cs="Times New Roman" w:eastAsia="Times New Roman" w:hAnsi="Times New Roman"/>
                <w:sz w:val="22"/>
                <w:szCs w:val="22"/>
              </w:rPr>
            </w:pPr>
            <w:sdt>
              <w:sdtPr>
                <w:id w:val="120600000"/>
                <w:tag w:val="goog_rdk_3"/>
              </w:sdtPr>
              <w:sdtContent>
                <w:r w:rsidDel="00000000" w:rsidR="00000000" w:rsidRPr="00000000">
                  <w:rPr>
                    <w:rFonts w:ascii="Gungsuh" w:cs="Gungsuh" w:eastAsia="Gungsuh" w:hAnsi="Gungsuh"/>
                    <w:sz w:val="22"/>
                    <w:szCs w:val="22"/>
                    <w:rtl w:val="0"/>
                  </w:rPr>
                  <w:t xml:space="preserve">−0.169</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0.045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(iii) BSLW — Tangency (30 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rFonts w:ascii="Times New Roman" w:cs="Times New Roman" w:eastAsia="Times New Roman" w:hAnsi="Times New Roman"/>
                <w:sz w:val="22"/>
                <w:szCs w:val="22"/>
              </w:rPr>
            </w:pPr>
            <w:sdt>
              <w:sdtPr>
                <w:id w:val="1050682865"/>
                <w:tag w:val="goog_rdk_4"/>
              </w:sdtPr>
              <w:sdtContent>
                <w:r w:rsidDel="00000000" w:rsidR="00000000" w:rsidRPr="00000000">
                  <w:rPr>
                    <w:rFonts w:ascii="Gungsuh" w:cs="Gungsuh" w:eastAsia="Gungsuh" w:hAnsi="Gungsuh"/>
                    <w:sz w:val="22"/>
                    <w:szCs w:val="22"/>
                    <w:rtl w:val="0"/>
                  </w:rPr>
                  <w:t xml:space="preserve">−0.146</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0.095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Samp — GMV (30 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0.176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0.186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0.911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Samp — Tangency (FF5)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0.199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rFonts w:ascii="Times New Roman" w:cs="Times New Roman" w:eastAsia="Times New Roman" w:hAnsi="Times New Roman"/>
                <w:sz w:val="22"/>
                <w:szCs w:val="22"/>
              </w:rPr>
            </w:pPr>
            <w:sdt>
              <w:sdtPr>
                <w:id w:val="-543451873"/>
                <w:tag w:val="goog_rdk_5"/>
              </w:sdtPr>
              <w:sdtContent>
                <w:r w:rsidDel="00000000" w:rsidR="00000000" w:rsidRPr="00000000">
                  <w:rPr>
                    <w:rFonts w:ascii="Gungsuh" w:cs="Gungsuh" w:eastAsia="Gungsuh" w:hAnsi="Gungsuh"/>
                    <w:sz w:val="22"/>
                    <w:szCs w:val="22"/>
                    <w:rtl w:val="0"/>
                  </w:rPr>
                  <w:t xml:space="preserve">−0.201</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0.062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(iii) BSLW — Tangency (FF5)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jc w:val="both"/>
              <w:rPr>
                <w:rFonts w:ascii="Times New Roman" w:cs="Times New Roman" w:eastAsia="Times New Roman" w:hAnsi="Times New Roman"/>
                <w:sz w:val="22"/>
                <w:szCs w:val="22"/>
              </w:rPr>
            </w:pPr>
            <w:sdt>
              <w:sdtPr>
                <w:id w:val="2050129286"/>
                <w:tag w:val="goog_rdk_6"/>
              </w:sdtPr>
              <w:sdtContent>
                <w:r w:rsidDel="00000000" w:rsidR="00000000" w:rsidRPr="00000000">
                  <w:rPr>
                    <w:rFonts w:ascii="Gungsuh" w:cs="Gungsuh" w:eastAsia="Gungsuh" w:hAnsi="Gungsuh"/>
                    <w:sz w:val="22"/>
                    <w:szCs w:val="22"/>
                    <w:rtl w:val="0"/>
                  </w:rPr>
                  <w:t xml:space="preserve">−0.210</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Samp — GMV (FF5)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jc w:val="both"/>
              <w:rPr>
                <w:rFonts w:ascii="Times New Roman" w:cs="Times New Roman" w:eastAsia="Times New Roman" w:hAnsi="Times New Roman"/>
                <w:sz w:val="22"/>
                <w:szCs w:val="22"/>
              </w:rPr>
            </w:pPr>
            <w:sdt>
              <w:sdtPr>
                <w:id w:val="-1575148727"/>
                <w:tag w:val="goog_rdk_7"/>
              </w:sdtPr>
              <w:sdtContent>
                <w:r w:rsidDel="00000000" w:rsidR="00000000" w:rsidRPr="00000000">
                  <w:rPr>
                    <w:rFonts w:ascii="Gungsuh" w:cs="Gungsuh" w:eastAsia="Gungsuh" w:hAnsi="Gungsuh"/>
                    <w:sz w:val="22"/>
                    <w:szCs w:val="22"/>
                    <w:rtl w:val="0"/>
                  </w:rPr>
                  <w:t xml:space="preserve">−0.216</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0.059</w:t>
            </w:r>
          </w:p>
        </w:tc>
      </w:tr>
    </w:tbl>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7.1 – IS vs OOS Sharpe Ratios and Statistical Tests (Selected Portfolios)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b w:val="1"/>
          <w:bCs w:val="1"/>
          <w:sz w:val="22"/>
          <w:szCs w:val="22"/>
        </w:rPr>
      </w:pPr>
      <w:sdt>
        <w:sdtPr>
          <w:id w:val="648288733"/>
          <w:tag w:val="goog_rdk_8"/>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The LW bootstrap (preferred over JK for non-normal, serially correlated returns) confirms significant IS→OOS deterioration for the unconstrained sample tangency portfolio across both universes (p = 0.001 for Industry; p ≈ 0.06 for FF5). GMV portfolios show no significant decay (p &gt; 0.90 for Industry), confirming their dependence on the covariance matrix rather than noisy mean estimates produces greater OOS stability (Jagannathan and Ma, 2003). All 17 IS-optimised portfolios fall below the OOS frontier, confirming that fixed IS weights do not remain mean-variance efficient out-of-sample.</w:t>
          </w:r>
        </w:sdtContent>
      </w:sdt>
      <w:r w:rsidDel="00000000" w:rsidR="00000000" w:rsidRPr="00000000">
        <w:rPr>
          <w:rtl w:val="0"/>
        </w:rPr>
      </w:r>
    </w:p>
    <w:p w:rsidR="00000000" w:rsidDel="00000000" w:rsidP="00000000" w:rsidRDefault="00000000" w:rsidRPr="00000000" w14:paraId="000001AD">
      <w:pPr>
        <w:pStyle w:val="Heading2"/>
        <w:spacing w:before="360" w:lineRule="auto"/>
        <w:jc w:val="both"/>
        <w:rPr/>
      </w:pPr>
      <w:r w:rsidDel="00000000" w:rsidR="00000000" w:rsidRPr="00000000">
        <w:rPr>
          <w:b w:val="1"/>
          <w:bCs w:val="1"/>
          <w:color w:val="0f4761"/>
          <w:sz w:val="22"/>
          <w:szCs w:val="22"/>
          <w:rtl w:val="0"/>
        </w:rPr>
        <w:t xml:space="preserve">Task 8 – Robustness and Portfolio Stability</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the same in-sample / out-of-sample split as Task 7 (1980–2002 / 2003–2025), we assess whether simple robustness adjustments improve portfolio stability. Table 8.1 reports in-sample (IS) and out-of-sample (OOS) Sharpe ratios for four approaches: (A) unconstrained optimisation, (B) 10% position cap, (C) Michaud-style resampling (50 bootstrap draws), and (D) an expanded 35-asset universe (30 industries plus the Fama–French five factors). The equal-weight (1/N) portfolio is included as a benchmark. Portfolios are optimised in-sample and held fixed out-of-sample.</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7650.0" w:type="dxa"/>
        <w:jc w:val="left"/>
        <w:tblLayout w:type="fixed"/>
        <w:tblLook w:val="0400"/>
      </w:tblPr>
      <w:tblGrid>
        <w:gridCol w:w="2565"/>
        <w:gridCol w:w="885"/>
        <w:gridCol w:w="1155"/>
        <w:gridCol w:w="975"/>
        <w:gridCol w:w="1110"/>
        <w:gridCol w:w="960"/>
        <w:tblGridChange w:id="0">
          <w:tblGrid>
            <w:gridCol w:w="2565"/>
            <w:gridCol w:w="885"/>
            <w:gridCol w:w="1155"/>
            <w:gridCol w:w="975"/>
            <w:gridCol w:w="1110"/>
            <w:gridCol w:w="960"/>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 (IS)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 (OOS)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ΔSR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OOS 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OOS μ</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Unconstrained – Tangency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0.337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0.082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sdt>
              <w:sdtPr>
                <w:id w:val="-859420218"/>
                <w:tag w:val="goog_rdk_9"/>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−0.255</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0.65%</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Unconstrained – GMV</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0.175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0.186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0.81%</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 Cap – Tangency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0.204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0.209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0.89%</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 Cap – GMV</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0.180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0.191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3.92%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0.89%</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Resampled – Tangency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0.211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0.214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0.91%</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Resampled – GMV</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0.161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0.203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0.85%</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Equal weight (1/N)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0.135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0.185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4.80%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1.02%</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35-Asset – Tangency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0.713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0.193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sdt>
              <w:sdtPr>
                <w:id w:val="599212405"/>
                <w:tag w:val="goog_rdk_10"/>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−0.520</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0.19%</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35-Asset – GMV</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0.442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0.158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sdt>
              <w:sdtPr>
                <w:id w:val="-933923455"/>
                <w:tag w:val="goog_rdk_11"/>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−0.284</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0.20%</w:t>
            </w:r>
          </w:p>
        </w:tc>
      </w:tr>
    </w:tbl>
    <w:p w:rsidR="00000000" w:rsidDel="00000000" w:rsidP="00000000" w:rsidRDefault="00000000" w:rsidRPr="00000000" w14:paraId="000001EC">
      <w:pPr>
        <w:spacing w:after="240" w:lineRule="auto"/>
        <w:jc w:val="both"/>
        <w:rPr>
          <w:i w:val="1"/>
          <w:iCs w:val="1"/>
          <w:sz w:val="22"/>
          <w:szCs w:val="22"/>
        </w:rPr>
      </w:pPr>
      <w:r w:rsidDel="00000000" w:rsidR="00000000" w:rsidRPr="00000000">
        <w:rPr>
          <w:i w:val="1"/>
          <w:iCs w:val="1"/>
          <w:sz w:val="22"/>
          <w:szCs w:val="22"/>
          <w:rtl w:val="0"/>
        </w:rPr>
        <w:br w:type="textWrapping"/>
        <w:t xml:space="preserve">Table 8.1: In-Sample vs Out-of-Sample Performance (Monthly Excess Returns)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drawing>
          <wp:inline distB="0" distT="0" distL="0" distR="0">
            <wp:extent cx="5731510" cy="2369820"/>
            <wp:effectExtent b="0" l="0" r="0" t="0"/>
            <wp:docPr descr="The diagram illustrates the performance comparison of different portfolio optimization strategies, including unconstrained, constrained, and resampled models, across various market conditions and asset combinations.&#10;&#10;AI-generated content may be incorrect." id="2088252929" name="image4.png"/>
            <a:graphic>
              <a:graphicData uri="http://schemas.openxmlformats.org/drawingml/2006/picture">
                <pic:pic>
                  <pic:nvPicPr>
                    <pic:cNvPr descr="The diagram illustrates the performance comparison of different portfolio optimization strategies, including unconstrained, constrained, and resampled models, across various market conditions and asset combinations.&#10;&#10;AI-generated content may be incorrect." id="0" name="image4.png"/>
                    <pic:cNvPicPr preferRelativeResize="0"/>
                  </pic:nvPicPr>
                  <pic:blipFill>
                    <a:blip r:embed="rId17"/>
                    <a:srcRect b="0" l="0" r="0" t="0"/>
                    <a:stretch>
                      <a:fillRect/>
                    </a:stretch>
                  </pic:blipFill>
                  <pic:spPr>
                    <a:xfrm>
                      <a:off x="0" y="0"/>
                      <a:ext cx="5731510" cy="236982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8.1: In-Sample Efficient Frontiers and Capital Market Lines (1980–2002)</w:t>
      </w:r>
      <w:r w:rsidDel="00000000" w:rsidR="00000000" w:rsidRPr="00000000">
        <w:rPr>
          <w:rtl w:val="0"/>
        </w:rPr>
      </w:r>
    </w:p>
    <w:p w:rsidR="00000000" w:rsidDel="00000000" w:rsidP="00000000" w:rsidRDefault="00000000" w:rsidRPr="00000000" w14:paraId="000001EE">
      <w:pPr>
        <w:pStyle w:val="Heading3"/>
        <w:spacing w:before="280" w:lineRule="auto"/>
        <w:jc w:val="both"/>
        <w:rPr/>
      </w:pPr>
      <w:r w:rsidDel="00000000" w:rsidR="00000000" w:rsidRPr="00000000">
        <w:rPr>
          <w:b w:val="1"/>
          <w:bCs w:val="1"/>
          <w:color w:val="0f4761"/>
          <w:sz w:val="22"/>
          <w:szCs w:val="22"/>
          <w:rtl w:val="0"/>
        </w:rPr>
        <w:t xml:space="preserve">Tangency Portfolios Results</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824098552"/>
          <w:tag w:val="goog_rdk_1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The unconstrained tangency portfolio achieves the highest in-sample Sharpe ratio (0.337), but its OOS Sharpe falls sharply to 0.082 (ΔSR = −0.255), with volatility rising to 6.29% per month. This confirms the instability observed in Task 7.</w:t>
          </w:r>
        </w:sdtContent>
      </w:sdt>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Imposing a 10% weight cap reduces the IS Sharpe to 0.204 but eliminates OOS deterioration (SR(OOS) = 0.209, ΔSR = +0.005), cutting volatility to 3.60%. The resampled tangency produces nearly identical stability (IS SR = 0.211, OOS SR = 0.214). By averaging weights across bootstrap samples, it avoids overfitting to any single realisation of the data.</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45227949"/>
          <w:tag w:val="goog_rdk_1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Expanding the universe to 35 assets dramatically increases the IS Sharpe to 0.713, but the gain reverses OOS (SR = 0.193, ΔSR = −0.520). With N = 35 and only T = 276 months, additional parameters amplify estimation error, resulting in severe OOS performance decay.</w:t>
          </w:r>
        </w:sdtContent>
      </w:sdt>
      <w:r w:rsidDel="00000000" w:rsidR="00000000" w:rsidRPr="00000000">
        <w:rPr>
          <w:rtl w:val="0"/>
        </w:rPr>
      </w:r>
    </w:p>
    <w:p w:rsidR="00000000" w:rsidDel="00000000" w:rsidP="00000000" w:rsidRDefault="00000000" w:rsidRPr="00000000" w14:paraId="000001F2">
      <w:pPr>
        <w:pStyle w:val="Heading3"/>
        <w:spacing w:before="280" w:lineRule="auto"/>
        <w:jc w:val="both"/>
        <w:rPr/>
      </w:pPr>
      <w:r w:rsidDel="00000000" w:rsidR="00000000" w:rsidRPr="00000000">
        <w:rPr>
          <w:b w:val="1"/>
          <w:bCs w:val="1"/>
          <w:color w:val="0f4761"/>
          <w:sz w:val="22"/>
          <w:szCs w:val="22"/>
          <w:rtl w:val="0"/>
        </w:rPr>
        <w:t xml:space="preserve">GMV and Equal-Weight Results</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Across all 30-industry specifications, GMV portfolios exhibit minimal IS–OOS Sharpe changes (ΔSR between +0.011 and +0.042), reflecting their independence from noisy mean return estimates. The resampled GMV achieves the strongest OOS Sharpe (0.203).</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1/N portfolio delivers an OOS Sharpe of 0.185, substantially outperforming the unconstrained tangency (0.082). The constrained and resampled tangency portfolios modestly exceed 1/N, indicating that optimisation retains value when properly regularised.</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6">
      <w:pPr>
        <w:spacing w:after="240" w:lineRule="auto"/>
        <w:jc w:val="both"/>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drawing>
          <wp:inline distB="0" distT="0" distL="0" distR="0">
            <wp:extent cx="5731510" cy="2369820"/>
            <wp:effectExtent b="0" l="0" r="0" t="0"/>
            <wp:docPr descr="The diagram illustrates a comparison of various portfolio strategies (Unconstrained, Constrained, Resampled) against the Optimized Out-of-Sample (OOS) Frontier and the Capital Market Line (CML) for different constraints and weighting methods, displaying metrics such as expected return, realized mean return, and volatility.&#10;&#10;AI-generated content may be incorrect." id="2088252930" name="image14.png"/>
            <a:graphic>
              <a:graphicData uri="http://schemas.openxmlformats.org/drawingml/2006/picture">
                <pic:pic>
                  <pic:nvPicPr>
                    <pic:cNvPr descr="The diagram illustrates a comparison of various portfolio strategies (Unconstrained, Constrained, Resampled) against the Optimized Out-of-Sample (OOS) Frontier and the Capital Market Line (CML) for different constraints and weighting methods, displaying metrics such as expected return, realized mean return, and volatility.&#10;&#10;AI-generated content may be incorrect." id="0" name="image14.png"/>
                    <pic:cNvPicPr preferRelativeResize="0"/>
                  </pic:nvPicPr>
                  <pic:blipFill>
                    <a:blip r:embed="rId18"/>
                    <a:srcRect b="0" l="0" r="0" t="0"/>
                    <a:stretch>
                      <a:fillRect/>
                    </a:stretch>
                  </pic:blipFill>
                  <pic:spPr>
                    <a:xfrm>
                      <a:off x="0" y="0"/>
                      <a:ext cx="5731510" cy="236982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8.2: IS Portfolios vs OOS Realised Performance (2003–2025)</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9">
      <w:pPr>
        <w:pStyle w:val="Heading3"/>
        <w:spacing w:before="280" w:lineRule="auto"/>
        <w:jc w:val="both"/>
        <w:rPr/>
      </w:pPr>
      <w:r w:rsidDel="00000000" w:rsidR="00000000" w:rsidRPr="00000000">
        <w:rPr>
          <w:b w:val="1"/>
          <w:bCs w:val="1"/>
          <w:color w:val="0f4761"/>
          <w:sz w:val="22"/>
          <w:szCs w:val="22"/>
          <w:rtl w:val="0"/>
        </w:rPr>
        <w:t xml:space="preserve">Statistical Evidence</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Sharpe ratio equality is tested using Jobson–Korkie (1981) and Ledoit–Wolf (2008) procedures. The LW test is preferred, as it does not require i.i.d. or normality assumptions.</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8.2: Sharpe Ratio Equality Tests</w:t>
      </w:r>
      <w:r w:rsidDel="00000000" w:rsidR="00000000" w:rsidRPr="00000000">
        <w:rPr>
          <w:rtl w:val="0"/>
        </w:rPr>
      </w:r>
    </w:p>
    <w:tbl>
      <w:tblPr>
        <w:tblStyle w:val="Table10"/>
        <w:tblW w:w="6241.0" w:type="dxa"/>
        <w:jc w:val="left"/>
        <w:tblLayout w:type="fixed"/>
        <w:tblLook w:val="0400"/>
      </w:tblPr>
      <w:tblGrid>
        <w:gridCol w:w="3689"/>
        <w:gridCol w:w="1233"/>
        <w:gridCol w:w="1319"/>
        <w:tblGridChange w:id="0">
          <w:tblGrid>
            <w:gridCol w:w="3689"/>
            <w:gridCol w:w="1233"/>
            <w:gridCol w:w="1319"/>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Comparison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JK p-value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LW p-value</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48706691"/>
                <w:tag w:val="goog_rdk_1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Unconstrained Tangency: IS → OOS</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&lt; 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 0.001</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70158010"/>
                <w:tag w:val="goog_rdk_15"/>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10% Cap Tangency: IS → OOS</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&lt; 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 0.960</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92432231"/>
                <w:tag w:val="goog_rdk_1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Resampled Tangency: IS → OOS</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&lt; 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 0.986</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Cap vs Uncon. Tangency (OOS)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&lt; 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 0.035</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Resampled vs Uncon. Tangency (OOS)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&lt; 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 0.025</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1/N vs Uncon. Tangency (OOS)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&lt; 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 0.121</w:t>
            </w:r>
            <w:r w:rsidDel="00000000" w:rsidR="00000000" w:rsidRPr="00000000">
              <w:rPr>
                <w:rtl w:val="0"/>
              </w:rPr>
            </w:r>
          </w:p>
        </w:tc>
      </w:tr>
    </w:tbl>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LW test confirms significant IS–OOS deterioration for the unconstrained tangency (p = 0.001). Neither the capped nor resampled portfolios exhibit significant deterioration (p &gt; 0.96). Both regularised tangency portfolios significantly outperform the unconstrained benchmark OOS (p = 0.035 and 0.025 respectively), indicating that the improvement reflects genuine robustness rather than sampling variation.</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15">
      <w:pPr>
        <w:pStyle w:val="Heading3"/>
        <w:spacing w:before="280" w:lineRule="auto"/>
        <w:jc w:val="both"/>
        <w:rPr/>
      </w:pPr>
      <w:r w:rsidDel="00000000" w:rsidR="00000000" w:rsidRPr="00000000">
        <w:rPr>
          <w:b w:val="1"/>
          <w:bCs w:val="1"/>
          <w:color w:val="0f4761"/>
          <w:sz w:val="22"/>
          <w:szCs w:val="22"/>
          <w:rtl w:val="0"/>
        </w:rPr>
        <w:t xml:space="preserve">Conclusion</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unconstrained tangency portfolio is highly efficient in-sample but unreliable out-of-sample. Simple regularisation, either through position limits or resampling, substantially stabilises performance at modest in-sample cost. GMV portfolios remain comparatively stable, whereas expanding the asset set without more data deteriorates out-of-sample performance. Optimisation only adds value when estimation risk is controlled.</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19">
      <w:pPr>
        <w:spacing w:after="240" w:lineRule="auto"/>
        <w:jc w:val="both"/>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1A">
      <w:pPr>
        <w:pStyle w:val="Heading2"/>
        <w:spacing w:before="360" w:lineRule="auto"/>
        <w:jc w:val="both"/>
        <w:rPr/>
      </w:pPr>
      <w:r w:rsidDel="00000000" w:rsidR="00000000" w:rsidRPr="00000000">
        <w:rPr>
          <w:b w:val="1"/>
          <w:bCs w:val="1"/>
          <w:color w:val="0f4761"/>
          <w:sz w:val="22"/>
          <w:szCs w:val="22"/>
          <w:rtl w:val="0"/>
        </w:rPr>
        <w:t xml:space="preserve">Task 9 – Mutual Fund Performance Assessment</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assess the performance of three mutual funds against the market portfolio, the FF5 practical proxies, and the tangency portfolios constructed in Tasks 2 and 6. The three funds are described in Table 9.1. VFINX is included as a passive benchmark; FMAGX and AGTHX are actively managed large-cap growth funds. All regressions use monthly excess returns with the longest available overlapping sample for each benchmark.</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9.1: Fund Characteristics</w:t>
      </w:r>
      <w:r w:rsidDel="00000000" w:rsidR="00000000" w:rsidRPr="00000000">
        <w:rPr>
          <w:rtl w:val="0"/>
        </w:rPr>
      </w:r>
    </w:p>
    <w:tbl>
      <w:tblPr>
        <w:tblStyle w:val="Table11"/>
        <w:tblW w:w="8268.0" w:type="dxa"/>
        <w:jc w:val="left"/>
        <w:tblLayout w:type="fixed"/>
        <w:tblLook w:val="0400"/>
      </w:tblPr>
      <w:tblGrid>
        <w:gridCol w:w="1031"/>
        <w:gridCol w:w="2431"/>
        <w:gridCol w:w="2510"/>
        <w:gridCol w:w="1093"/>
        <w:gridCol w:w="1203"/>
        <w:tblGridChange w:id="0">
          <w:tblGrid>
            <w:gridCol w:w="1031"/>
            <w:gridCol w:w="2431"/>
            <w:gridCol w:w="2510"/>
            <w:gridCol w:w="1093"/>
            <w:gridCol w:w="1203"/>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Style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Inception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 Ratio</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VFINX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Vanguard 500 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Passive (S&amp;P 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0.14%</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FMAGX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Fidelity Magellan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Active Large-Cap 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0.67%</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AGTHX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Growth Fund of America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Active Large-Cap 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0.62%</w:t>
            </w:r>
            <w:r w:rsidDel="00000000" w:rsidR="00000000" w:rsidRPr="00000000">
              <w:rPr>
                <w:rtl w:val="0"/>
              </w:rPr>
            </w:r>
          </w:p>
        </w:tc>
      </w:tr>
    </w:tbl>
    <w:p w:rsidR="00000000" w:rsidDel="00000000" w:rsidP="00000000" w:rsidRDefault="00000000" w:rsidRPr="00000000" w14:paraId="00000232">
      <w:pPr>
        <w:jc w:val="both"/>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Table 9.2: Alpha Estimates and Sharpe Ratios by Benchmark (Monthly Excess Returns, Feb 1980–Dec 2025)</w:t>
      </w:r>
      <w:r w:rsidDel="00000000" w:rsidR="00000000" w:rsidRPr="00000000">
        <w:rPr>
          <w:rtl w:val="0"/>
        </w:rPr>
      </w:r>
    </w:p>
    <w:tbl>
      <w:tblPr>
        <w:tblStyle w:val="Table12"/>
        <w:tblW w:w="9016.0" w:type="dxa"/>
        <w:jc w:val="left"/>
        <w:tblLayout w:type="fixed"/>
        <w:tblLook w:val="0400"/>
      </w:tblPr>
      <w:tblGrid>
        <w:gridCol w:w="1031"/>
        <w:gridCol w:w="1341"/>
        <w:gridCol w:w="816"/>
        <w:gridCol w:w="1618"/>
        <w:gridCol w:w="816"/>
        <w:gridCol w:w="1599"/>
        <w:gridCol w:w="1795"/>
        <w:tblGridChange w:id="0">
          <w:tblGrid>
            <w:gridCol w:w="1031"/>
            <w:gridCol w:w="1341"/>
            <w:gridCol w:w="816"/>
            <w:gridCol w:w="1618"/>
            <w:gridCol w:w="816"/>
            <w:gridCol w:w="1599"/>
            <w:gridCol w:w="1795"/>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CAPM 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FF5-Proxy 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Tangency 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  |  OOS SR</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VFINX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−0.025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−0.73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−0.006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−0.79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−0.125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−0.79  |  0.153</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FMAGX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+1.98  |  0.224</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AGTHX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+1.58  |  0.199</w:t>
            </w:r>
            <w:r w:rsidDel="00000000" w:rsidR="00000000" w:rsidRPr="00000000">
              <w:rPr>
                <w:rtl w:val="0"/>
              </w:rPr>
            </w:r>
          </w:p>
        </w:tc>
      </w:tr>
    </w:tbl>
    <w:p w:rsidR="00000000" w:rsidDel="00000000" w:rsidP="00000000" w:rsidRDefault="00000000" w:rsidRPr="00000000" w14:paraId="00000251">
      <w:pPr>
        <w:jc w:val="both"/>
        <w:rPr/>
      </w:pPr>
      <w:r w:rsidDel="00000000" w:rsidR="00000000" w:rsidRPr="00000000">
        <w:rPr/>
        <w:drawing>
          <wp:inline distB="0" distT="0" distL="0" distR="0">
            <wp:extent cx="5731510" cy="3665220"/>
            <wp:effectExtent b="0" l="0" r="0" t="0"/>
            <wp:docPr descr="The diagram illustrates the performance comparison of various mutual funds, including Vanguard 500 Index, Fidelity Magellan, and Growth Fund of America, in terms of their mean monthly returns and volatility, against the efficient frontier and Capital Market Line (CML).&#10;&#10;AI-generated content may be incorrect." id="2088252931" name="image12.png"/>
            <a:graphic>
              <a:graphicData uri="http://schemas.openxmlformats.org/drawingml/2006/picture">
                <pic:pic>
                  <pic:nvPicPr>
                    <pic:cNvPr descr="The diagram illustrates the performance comparison of various mutual funds, including Vanguard 500 Index, Fidelity Magellan, and Growth Fund of America, in terms of their mean monthly returns and volatility, against the efficient frontier and Capital Market Line (CML).&#10;&#10;AI-generated content may be incorrect." id="0" name="image12.png"/>
                    <pic:cNvPicPr preferRelativeResize="0"/>
                  </pic:nvPicPr>
                  <pic:blipFill>
                    <a:blip r:embed="rId19"/>
                    <a:srcRect b="0" l="0" r="0" t="0"/>
                    <a:stretch>
                      <a:fillRect/>
                    </a:stretch>
                  </pic:blipFill>
                  <pic:spPr>
                    <a:xfrm>
                      <a:off x="0" y="0"/>
                      <a:ext cx="5731510" cy="366522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9.1: Mutual Funds on the Mean–Variance Frontier</w:t>
      </w:r>
      <w:r w:rsidDel="00000000" w:rsidR="00000000" w:rsidRPr="00000000">
        <w:rPr>
          <w:rtl w:val="0"/>
        </w:rPr>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pStyle w:val="Heading3"/>
        <w:spacing w:before="280" w:lineRule="auto"/>
        <w:jc w:val="both"/>
        <w:rPr/>
      </w:pPr>
      <w:r w:rsidDel="00000000" w:rsidR="00000000" w:rsidRPr="00000000">
        <w:rPr>
          <w:b w:val="1"/>
          <w:bCs w:val="1"/>
          <w:color w:val="0f4761"/>
          <w:sz w:val="22"/>
          <w:szCs w:val="22"/>
          <w:rtl w:val="0"/>
        </w:rPr>
        <w:t xml:space="preserve">VFINX – Vanguard 500 Index (Passive)</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92556608"/>
          <w:tag w:val="goog_rdk_17"/>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As expected for a passive S&amp;P 500 tracker, VFINX produces near-zero alpha across all benchmarks: α = −0.025%/month under CAPM (t = −0.73, insignificant) and effectively zero under the FF5 proxies (α = −0.006%, t = −0.79, R² = 0.9995). The fund's full-sample Sharpe ratio of 0.153 lies below the in-sample tangency portfolio’s Sharpe ratio. The negative tangency alpha (−0.125%) reflects that the in-sample tangency portfolio represents the maximum Sharpe portfolio within the sample. This is  a particularly demanding benchmark.</w:t>
          </w:r>
        </w:sdtContent>
      </w:sdt>
      <w:r w:rsidDel="00000000" w:rsidR="00000000" w:rsidRPr="00000000">
        <w:rPr>
          <w:rtl w:val="0"/>
        </w:rPr>
      </w:r>
    </w:p>
    <w:p w:rsidR="00000000" w:rsidDel="00000000" w:rsidP="00000000" w:rsidRDefault="00000000" w:rsidRPr="00000000" w14:paraId="00000256">
      <w:pPr>
        <w:pStyle w:val="Heading3"/>
        <w:spacing w:before="280" w:lineRule="auto"/>
        <w:jc w:val="both"/>
        <w:rPr/>
      </w:pPr>
      <w:r w:rsidDel="00000000" w:rsidR="00000000" w:rsidRPr="00000000">
        <w:rPr>
          <w:b w:val="1"/>
          <w:bCs w:val="1"/>
          <w:color w:val="0f4761"/>
          <w:sz w:val="22"/>
          <w:szCs w:val="22"/>
          <w:rtl w:val="0"/>
        </w:rPr>
        <w:t xml:space="preserve">FMAGX – Fidelity Magellan (Active)</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2920106"/>
          <w:tag w:val="goog_rdk_18"/>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FMAGX generates a significant positive CAPM alpha of +0.497%/month (t = 3.80), suggesting genuine outperformance over the market. Under the FF5 proxies, alpha remains positive at +0.552%/month (t = 2.60) and becomes only marginally significant against the tangency portfolio (α = +0.444%, t = 1.98). The large negative loading on IWD (β = −0.46) and positive loading on SPY (β = 1.47) indicate a strong growth tilt.  Much of the apparent CAPM alpha reflects systematic factor exposure rather than stock selection skill. The fund's Sharpe ratio of 0.224 remains below the in-sample tangency portfolio.</w:t>
          </w:r>
        </w:sdtContent>
      </w:sdt>
      <w:r w:rsidDel="00000000" w:rsidR="00000000" w:rsidRPr="00000000">
        <w:rPr>
          <w:rtl w:val="0"/>
        </w:rPr>
      </w:r>
    </w:p>
    <w:p w:rsidR="00000000" w:rsidDel="00000000" w:rsidP="00000000" w:rsidRDefault="00000000" w:rsidRPr="00000000" w14:paraId="00000258">
      <w:pPr>
        <w:pStyle w:val="Heading3"/>
        <w:spacing w:before="280" w:lineRule="auto"/>
        <w:jc w:val="both"/>
        <w:rPr/>
      </w:pPr>
      <w:r w:rsidDel="00000000" w:rsidR="00000000" w:rsidRPr="00000000">
        <w:rPr>
          <w:b w:val="1"/>
          <w:bCs w:val="1"/>
          <w:color w:val="0f4761"/>
          <w:sz w:val="22"/>
          <w:szCs w:val="22"/>
          <w:rtl w:val="0"/>
        </w:rPr>
        <w:t xml:space="preserve">AGTHX – Growth Fund of America (Active)</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AGTHX also shows significant CAPM alpha (+0.311%/month, t = 2.77), which grows to +0.743%/month under FF5 proxies (t = 3.24) — the largest alpha in the sample. This increase reflects that the FF5 proxy model partially fails to capture AGTHX's style exposures, as the R² actually falls from 0.784 to 0.726, suggesting the fund holds assets not well spanned by these proxies. As with FMAGX, the tangency alpha is positive but insignificant (t = 1.58). The fund's Sharpe ratio of 0.199 lies below the in-sample tangency portfolio.</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drawing>
          <wp:inline distB="0" distT="0" distL="0" distR="0">
            <wp:extent cx="5731510" cy="3248025"/>
            <wp:effectExtent b="0" l="0" r="0" t="0"/>
            <wp:docPr descr="The diagram shows the cumulative wealth growth over time, comparing various mutual funds and a market benchmark from 1980 to 2025.&#10;&#10;AI-generated content may be incorrect." id="2088252933" name="image11.png"/>
            <a:graphic>
              <a:graphicData uri="http://schemas.openxmlformats.org/drawingml/2006/picture">
                <pic:pic>
                  <pic:nvPicPr>
                    <pic:cNvPr descr="The diagram shows the cumulative wealth growth over time, comparing various mutual funds and a market benchmark from 1980 to 2025.&#10;&#10;AI-generated content may be incorrect." id="0" name="image11.png"/>
                    <pic:cNvPicPr preferRelativeResize="0"/>
                  </pic:nvPicPr>
                  <pic:blipFill>
                    <a:blip r:embed="rId20"/>
                    <a:srcRect b="0" l="0" r="0" t="0"/>
                    <a:stretch>
                      <a:fillRect/>
                    </a:stretch>
                  </pic:blipFill>
                  <pic:spPr>
                    <a:xfrm>
                      <a:off x="0" y="0"/>
                      <a:ext cx="5731510" cy="324802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9.2: Cumulative Wealth: Funds vs Benchmarks</w:t>
      </w:r>
      <w:r w:rsidDel="00000000" w:rsidR="00000000" w:rsidRPr="00000000">
        <w:rPr>
          <w:rtl w:val="0"/>
        </w:rPr>
      </w:r>
    </w:p>
    <w:p w:rsidR="00000000" w:rsidDel="00000000" w:rsidP="00000000" w:rsidRDefault="00000000" w:rsidRPr="00000000" w14:paraId="0000025C">
      <w:pPr>
        <w:pStyle w:val="Heading3"/>
        <w:spacing w:before="280" w:lineRule="auto"/>
        <w:jc w:val="both"/>
        <w:rPr/>
      </w:pPr>
      <w:r w:rsidDel="00000000" w:rsidR="00000000" w:rsidRPr="00000000">
        <w:rPr>
          <w:b w:val="1"/>
          <w:bCs w:val="1"/>
          <w:color w:val="0f4761"/>
          <w:sz w:val="22"/>
          <w:szCs w:val="22"/>
          <w:rtl w:val="0"/>
        </w:rPr>
        <w:t xml:space="preserve">Conclusion</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03291602"/>
          <w:tag w:val="goog_rdk_19"/>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All three funds underperform the in-sample tangency portfolio, which by construction delivers the highest Sharpe ratio in the sample. The passive fund (VFINX) correctly shows α ≈ 0 across all benchmarks. The active funds show significant CAPM alphas, but these diminish or become insignificant when controlling for factor exposures, indicating that apparent skill partly reflects systematic tilts toward growth and large-cap equities. The tangency portfolio is uniformly the most demanding benchmark.</w:t>
          </w:r>
        </w:sdtContent>
      </w:sdt>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5F">
      <w:pPr>
        <w:pStyle w:val="Heading2"/>
        <w:jc w:val="both"/>
        <w:rPr/>
      </w:pPr>
      <w:r w:rsidDel="00000000" w:rsidR="00000000" w:rsidRPr="00000000">
        <w:rPr>
          <w:color w:val="0f4761"/>
          <w:rtl w:val="0"/>
        </w:rPr>
        <w:t xml:space="preserve">Bibliography</w:t>
      </w:r>
      <w:r w:rsidDel="00000000" w:rsidR="00000000" w:rsidRPr="00000000">
        <w:rPr>
          <w:rtl w:val="0"/>
        </w:rPr>
      </w:r>
    </w:p>
    <w:p w:rsidR="00000000" w:rsidDel="00000000" w:rsidP="00000000" w:rsidRDefault="00000000" w:rsidRPr="00000000" w14:paraId="00000260">
      <w:pPr>
        <w:ind w:left="720" w:hanging="720"/>
        <w:jc w:val="both"/>
        <w:rPr/>
      </w:pPr>
      <w:r w:rsidDel="00000000" w:rsidR="00000000" w:rsidRPr="00000000">
        <w:rPr>
          <w:sz w:val="22"/>
          <w:szCs w:val="22"/>
          <w:rtl w:val="0"/>
        </w:rPr>
        <w:t xml:space="preserve">Chopra, V.K., Hensel, C.R. and Turner, A.L. (1993) 'Massaging Mean-Variance Inputs: Returns from Alternative Global Investment Strategies', Financial Analysts Journal, 49(4), pp. 88–98.</w:t>
      </w:r>
      <w:r w:rsidDel="00000000" w:rsidR="00000000" w:rsidRPr="00000000">
        <w:rPr>
          <w:rtl w:val="0"/>
        </w:rPr>
      </w:r>
    </w:p>
    <w:p w:rsidR="00000000" w:rsidDel="00000000" w:rsidP="00000000" w:rsidRDefault="00000000" w:rsidRPr="00000000" w14:paraId="00000261">
      <w:pPr>
        <w:ind w:left="720" w:hanging="720"/>
        <w:jc w:val="both"/>
        <w:rPr/>
      </w:pPr>
      <w:r w:rsidDel="00000000" w:rsidR="00000000" w:rsidRPr="00000000">
        <w:rPr>
          <w:sz w:val="22"/>
          <w:szCs w:val="22"/>
          <w:rtl w:val="0"/>
        </w:rPr>
        <w:t xml:space="preserve">DeMiguel, V., Garlappi, L. and Uppal, R. (2009) 'Optimal versus Naive Diversification: How Inefficient Is the 1/N Portfolio Strategy?', Review of Financial Studies, 22(5), pp. 1915–1953.</w:t>
      </w:r>
      <w:r w:rsidDel="00000000" w:rsidR="00000000" w:rsidRPr="00000000">
        <w:rPr>
          <w:rtl w:val="0"/>
        </w:rPr>
      </w:r>
    </w:p>
    <w:p w:rsidR="00000000" w:rsidDel="00000000" w:rsidP="00000000" w:rsidRDefault="00000000" w:rsidRPr="00000000" w14:paraId="00000262">
      <w:pPr>
        <w:ind w:left="720" w:hanging="720"/>
        <w:jc w:val="both"/>
        <w:rPr/>
      </w:pPr>
      <w:r w:rsidDel="00000000" w:rsidR="00000000" w:rsidRPr="00000000">
        <w:rPr>
          <w:sz w:val="22"/>
          <w:szCs w:val="22"/>
          <w:rtl w:val="0"/>
        </w:rPr>
        <w:t xml:space="preserve">Elton, E.J. and Gruber, M.J. (1997) 'Modern Portfolio Theory, 1950 to Date', Journal of Banking &amp; Finance, 21(11–12), pp. 1743–1759.</w:t>
      </w:r>
      <w:r w:rsidDel="00000000" w:rsidR="00000000" w:rsidRPr="00000000">
        <w:rPr>
          <w:rtl w:val="0"/>
        </w:rPr>
      </w:r>
    </w:p>
    <w:p w:rsidR="00000000" w:rsidDel="00000000" w:rsidP="00000000" w:rsidRDefault="00000000" w:rsidRPr="00000000" w14:paraId="00000263">
      <w:pPr>
        <w:ind w:left="720" w:hanging="720"/>
        <w:jc w:val="both"/>
        <w:rPr/>
      </w:pPr>
      <w:r w:rsidDel="00000000" w:rsidR="00000000" w:rsidRPr="00000000">
        <w:rPr>
          <w:sz w:val="22"/>
          <w:szCs w:val="22"/>
          <w:rtl w:val="0"/>
        </w:rPr>
        <w:t xml:space="preserve">Faff, R.W. (2003) 'Creating Fama and French Factors with Style', Financial Review, 38(2), pp. 311–322.</w:t>
      </w:r>
      <w:r w:rsidDel="00000000" w:rsidR="00000000" w:rsidRPr="00000000">
        <w:rPr>
          <w:rtl w:val="0"/>
        </w:rPr>
      </w:r>
    </w:p>
    <w:p w:rsidR="00000000" w:rsidDel="00000000" w:rsidP="00000000" w:rsidRDefault="00000000" w:rsidRPr="00000000" w14:paraId="00000264">
      <w:pPr>
        <w:ind w:left="720" w:hanging="720"/>
        <w:jc w:val="both"/>
        <w:rPr/>
      </w:pPr>
      <w:r w:rsidDel="00000000" w:rsidR="00000000" w:rsidRPr="00000000">
        <w:rPr>
          <w:sz w:val="22"/>
          <w:szCs w:val="22"/>
          <w:rtl w:val="0"/>
        </w:rPr>
        <w:t xml:space="preserve">Fama, E.F. and French, K.R. (1993) 'Common Risk Factors in the Returns on Stocks and Bonds', Journal of Financial Economics, 33(1), pp. 3–56.</w:t>
      </w:r>
      <w:r w:rsidDel="00000000" w:rsidR="00000000" w:rsidRPr="00000000">
        <w:rPr>
          <w:rtl w:val="0"/>
        </w:rPr>
      </w:r>
    </w:p>
    <w:p w:rsidR="00000000" w:rsidDel="00000000" w:rsidP="00000000" w:rsidRDefault="00000000" w:rsidRPr="00000000" w14:paraId="00000265">
      <w:pPr>
        <w:ind w:left="720" w:hanging="720"/>
        <w:jc w:val="both"/>
        <w:rPr/>
      </w:pPr>
      <w:r w:rsidDel="00000000" w:rsidR="00000000" w:rsidRPr="00000000">
        <w:rPr>
          <w:sz w:val="22"/>
          <w:szCs w:val="22"/>
          <w:rtl w:val="0"/>
        </w:rPr>
        <w:t xml:space="preserve">Fama, E.F. and French, K.R. (2015) 'A Five-Factor Asset Pricing Model', Journal of Financial Economics, 116(1), pp. 1–22.</w:t>
      </w:r>
      <w:r w:rsidDel="00000000" w:rsidR="00000000" w:rsidRPr="00000000">
        <w:rPr>
          <w:rtl w:val="0"/>
        </w:rPr>
      </w:r>
    </w:p>
    <w:p w:rsidR="00000000" w:rsidDel="00000000" w:rsidP="00000000" w:rsidRDefault="00000000" w:rsidRPr="00000000" w14:paraId="00000266">
      <w:pPr>
        <w:ind w:left="720" w:hanging="720"/>
        <w:jc w:val="both"/>
        <w:rPr/>
      </w:pPr>
      <w:r w:rsidDel="00000000" w:rsidR="00000000" w:rsidRPr="00000000">
        <w:rPr>
          <w:sz w:val="22"/>
          <w:szCs w:val="22"/>
          <w:rtl w:val="0"/>
        </w:rPr>
        <w:t xml:space="preserve">Jagannathan, R. and Ma, T. (2003) 'Risk Reduction in Large Portfolios: Why Imposing the Wrong Constraints Helps', Journal of Finance, 58(4), pp. 1651–1684.</w:t>
      </w:r>
      <w:r w:rsidDel="00000000" w:rsidR="00000000" w:rsidRPr="00000000">
        <w:rPr>
          <w:rtl w:val="0"/>
        </w:rPr>
      </w:r>
    </w:p>
    <w:p w:rsidR="00000000" w:rsidDel="00000000" w:rsidP="00000000" w:rsidRDefault="00000000" w:rsidRPr="00000000" w14:paraId="00000267">
      <w:pPr>
        <w:ind w:left="720" w:hanging="720"/>
        <w:jc w:val="both"/>
        <w:rPr/>
      </w:pPr>
      <w:r w:rsidDel="00000000" w:rsidR="00000000" w:rsidRPr="00000000">
        <w:rPr>
          <w:sz w:val="22"/>
          <w:szCs w:val="22"/>
          <w:rtl w:val="0"/>
        </w:rPr>
        <w:t xml:space="preserve">Jensen, M.C. (1968) 'The Performance of Mutual Funds in the Period 1945–1964', Journal of Finance, 23(2), pp. 389–416.</w:t>
      </w:r>
      <w:r w:rsidDel="00000000" w:rsidR="00000000" w:rsidRPr="00000000">
        <w:rPr>
          <w:rtl w:val="0"/>
        </w:rPr>
      </w:r>
    </w:p>
    <w:p w:rsidR="00000000" w:rsidDel="00000000" w:rsidP="00000000" w:rsidRDefault="00000000" w:rsidRPr="00000000" w14:paraId="00000268">
      <w:pPr>
        <w:ind w:left="720" w:hanging="720"/>
        <w:jc w:val="both"/>
        <w:rPr/>
      </w:pPr>
      <w:r w:rsidDel="00000000" w:rsidR="00000000" w:rsidRPr="00000000">
        <w:rPr>
          <w:sz w:val="22"/>
          <w:szCs w:val="22"/>
          <w:rtl w:val="0"/>
        </w:rPr>
        <w:t xml:space="preserve">Jobson, J.D. and Korkie, B.M. (1981) 'Performance Hypothesis Testing with the Sharpe and Treynor Measures', Journal of Finance, 36(4), pp. 889–908.</w:t>
      </w:r>
      <w:r w:rsidDel="00000000" w:rsidR="00000000" w:rsidRPr="00000000">
        <w:rPr>
          <w:rtl w:val="0"/>
        </w:rPr>
      </w:r>
    </w:p>
    <w:p w:rsidR="00000000" w:rsidDel="00000000" w:rsidP="00000000" w:rsidRDefault="00000000" w:rsidRPr="00000000" w14:paraId="00000269">
      <w:pPr>
        <w:ind w:left="720" w:hanging="720"/>
        <w:jc w:val="both"/>
        <w:rPr/>
      </w:pPr>
      <w:r w:rsidDel="00000000" w:rsidR="00000000" w:rsidRPr="00000000">
        <w:rPr>
          <w:sz w:val="22"/>
          <w:szCs w:val="22"/>
          <w:rtl w:val="0"/>
        </w:rPr>
        <w:t xml:space="preserve">Jorion, P. (1985) 'International Portfolio Diversification with Estimation Risk', Journal of Business, 58(3), pp. 259–278.</w:t>
      </w:r>
      <w:r w:rsidDel="00000000" w:rsidR="00000000" w:rsidRPr="00000000">
        <w:rPr>
          <w:rtl w:val="0"/>
        </w:rPr>
      </w:r>
    </w:p>
    <w:p w:rsidR="00000000" w:rsidDel="00000000" w:rsidP="00000000" w:rsidRDefault="00000000" w:rsidRPr="00000000" w14:paraId="0000026A">
      <w:pPr>
        <w:ind w:left="720" w:hanging="720"/>
        <w:jc w:val="both"/>
        <w:rPr/>
      </w:pPr>
      <w:r w:rsidDel="00000000" w:rsidR="00000000" w:rsidRPr="00000000">
        <w:rPr>
          <w:sz w:val="22"/>
          <w:szCs w:val="22"/>
          <w:rtl w:val="0"/>
        </w:rPr>
        <w:t xml:space="preserve">Ledoit, O. and Wolf, M. (2008) 'Robust Performance Hypothesis Testing with the Sharpe Ratio', Journal of Empirical Finance, 15(5), pp. 850–859.</w:t>
      </w:r>
      <w:r w:rsidDel="00000000" w:rsidR="00000000" w:rsidRPr="00000000">
        <w:rPr>
          <w:rtl w:val="0"/>
        </w:rPr>
      </w:r>
    </w:p>
    <w:p w:rsidR="00000000" w:rsidDel="00000000" w:rsidP="00000000" w:rsidRDefault="00000000" w:rsidRPr="00000000" w14:paraId="0000026B">
      <w:pPr>
        <w:ind w:left="720" w:hanging="720"/>
        <w:jc w:val="both"/>
        <w:rPr/>
      </w:pPr>
      <w:r w:rsidDel="00000000" w:rsidR="00000000" w:rsidRPr="00000000">
        <w:rPr>
          <w:sz w:val="22"/>
          <w:szCs w:val="22"/>
          <w:rtl w:val="0"/>
        </w:rPr>
        <w:t xml:space="preserve">Markowitz, H. (1952) 'Portfolio Selection', Journal of Finance, 7(1), pp. 77–91.</w:t>
      </w:r>
      <w:r w:rsidDel="00000000" w:rsidR="00000000" w:rsidRPr="00000000">
        <w:rPr>
          <w:rtl w:val="0"/>
        </w:rPr>
      </w:r>
    </w:p>
    <w:p w:rsidR="00000000" w:rsidDel="00000000" w:rsidP="00000000" w:rsidRDefault="00000000" w:rsidRPr="00000000" w14:paraId="0000026C">
      <w:pPr>
        <w:ind w:left="720" w:hanging="720"/>
        <w:jc w:val="both"/>
        <w:rPr/>
      </w:pPr>
      <w:r w:rsidDel="00000000" w:rsidR="00000000" w:rsidRPr="00000000">
        <w:rPr>
          <w:sz w:val="22"/>
          <w:szCs w:val="22"/>
          <w:rtl w:val="0"/>
        </w:rPr>
        <w:t xml:space="preserve">Markowitz, H. (1959) Portfolio Selection: Efficient Diversification of Investments. New York: Wiley.</w:t>
      </w:r>
      <w:r w:rsidDel="00000000" w:rsidR="00000000" w:rsidRPr="00000000">
        <w:rPr>
          <w:rtl w:val="0"/>
        </w:rPr>
      </w:r>
    </w:p>
    <w:p w:rsidR="00000000" w:rsidDel="00000000" w:rsidP="00000000" w:rsidRDefault="00000000" w:rsidRPr="00000000" w14:paraId="0000026D">
      <w:pPr>
        <w:ind w:left="720" w:hanging="720"/>
        <w:jc w:val="both"/>
        <w:rPr/>
      </w:pPr>
      <w:r w:rsidDel="00000000" w:rsidR="00000000" w:rsidRPr="00000000">
        <w:rPr>
          <w:sz w:val="22"/>
          <w:szCs w:val="22"/>
          <w:rtl w:val="0"/>
        </w:rPr>
        <w:t xml:space="preserve">Michaud, R.O. (1989) 'The Markowitz Optimization Enigma: Is “Optimized” Optimal?', Financial Analysts Journal, 45(1), pp. 31–42.</w:t>
      </w:r>
      <w:r w:rsidDel="00000000" w:rsidR="00000000" w:rsidRPr="00000000">
        <w:rPr>
          <w:rtl w:val="0"/>
        </w:rPr>
      </w:r>
    </w:p>
    <w:p w:rsidR="00000000" w:rsidDel="00000000" w:rsidP="00000000" w:rsidRDefault="00000000" w:rsidRPr="00000000" w14:paraId="0000026E">
      <w:pPr>
        <w:ind w:left="720" w:hanging="720"/>
        <w:jc w:val="both"/>
        <w:rPr/>
      </w:pPr>
      <w:r w:rsidDel="00000000" w:rsidR="00000000" w:rsidRPr="00000000">
        <w:rPr>
          <w:sz w:val="22"/>
          <w:szCs w:val="22"/>
          <w:rtl w:val="0"/>
        </w:rPr>
        <w:t xml:space="preserve">Sharpe, W.F. (1966) 'Mutual Fund Performance', Journal of Business, 39(1), pp. 119–138.</w:t>
      </w:r>
      <w:r w:rsidDel="00000000" w:rsidR="00000000" w:rsidRPr="00000000">
        <w:rPr>
          <w:rtl w:val="0"/>
        </w:rPr>
      </w:r>
    </w:p>
    <w:p w:rsidR="00000000" w:rsidDel="00000000" w:rsidP="00000000" w:rsidRDefault="00000000" w:rsidRPr="00000000" w14:paraId="0000026F">
      <w:pPr>
        <w:ind w:left="720" w:hanging="720"/>
        <w:jc w:val="both"/>
        <w:rPr/>
      </w:pPr>
      <w:r w:rsidDel="00000000" w:rsidR="00000000" w:rsidRPr="00000000">
        <w:rPr>
          <w:sz w:val="22"/>
          <w:szCs w:val="22"/>
          <w:rtl w:val="0"/>
        </w:rPr>
        <w:t xml:space="preserve">Tobin, J. (1958) 'Liquidity Preference as Behaviour Towards Risk', Review of Economic Studies, 25(2), pp. 65–86.</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6539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6539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6539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65391"/>
    <w:rPr>
      <w:rFonts w:asciiTheme="majorHAnsi" w:cstheme="majorBidi" w:eastAsiaTheme="majorEastAsia" w:hAnsiTheme="majorHAnsi"/>
      <w:color w:val="0f4761" w:themeColor="accent1" w:themeShade="0000BF"/>
      <w:sz w:val="40"/>
      <w:szCs w:val="40"/>
      <w:lang w:val="en-GB"/>
    </w:rPr>
  </w:style>
  <w:style w:type="character" w:styleId="Heading2Char" w:customStyle="1">
    <w:name w:val="Heading 2 Char"/>
    <w:basedOn w:val="DefaultParagraphFont"/>
    <w:link w:val="Heading2"/>
    <w:uiPriority w:val="9"/>
    <w:rsid w:val="00D65391"/>
    <w:rPr>
      <w:rFonts w:asciiTheme="majorHAnsi" w:cstheme="majorBidi" w:eastAsiaTheme="majorEastAsia" w:hAnsiTheme="majorHAnsi"/>
      <w:color w:val="0f4761" w:themeColor="accent1" w:themeShade="0000BF"/>
      <w:sz w:val="32"/>
      <w:szCs w:val="32"/>
      <w:lang w:val="en-GB"/>
    </w:rPr>
  </w:style>
  <w:style w:type="character" w:styleId="Heading3Char" w:customStyle="1">
    <w:name w:val="Heading 3 Char"/>
    <w:basedOn w:val="DefaultParagraphFont"/>
    <w:link w:val="Heading3"/>
    <w:uiPriority w:val="9"/>
    <w:rsid w:val="00D65391"/>
    <w:rPr>
      <w:rFonts w:cstheme="majorBidi" w:eastAsiaTheme="majorEastAsia"/>
      <w:color w:val="0f4761" w:themeColor="accent1" w:themeShade="0000BF"/>
      <w:sz w:val="28"/>
      <w:szCs w:val="28"/>
      <w:lang w:val="en-GB"/>
    </w:rPr>
  </w:style>
  <w:style w:type="character" w:styleId="Heading4Char" w:customStyle="1">
    <w:name w:val="Heading 4 Char"/>
    <w:basedOn w:val="DefaultParagraphFont"/>
    <w:link w:val="Heading4"/>
    <w:uiPriority w:val="9"/>
    <w:semiHidden w:val="1"/>
    <w:rsid w:val="00D65391"/>
    <w:rPr>
      <w:rFonts w:cstheme="majorBidi" w:eastAsiaTheme="majorEastAsia"/>
      <w:i w:val="1"/>
      <w:iCs w:val="1"/>
      <w:color w:val="0f4761" w:themeColor="accent1" w:themeShade="0000BF"/>
      <w:lang w:val="en-GB"/>
    </w:rPr>
  </w:style>
  <w:style w:type="character" w:styleId="Heading5Char" w:customStyle="1">
    <w:name w:val="Heading 5 Char"/>
    <w:basedOn w:val="DefaultParagraphFont"/>
    <w:link w:val="Heading5"/>
    <w:uiPriority w:val="9"/>
    <w:semiHidden w:val="1"/>
    <w:rsid w:val="00D65391"/>
    <w:rPr>
      <w:rFonts w:cstheme="majorBidi" w:eastAsiaTheme="majorEastAsia"/>
      <w:color w:val="0f4761" w:themeColor="accent1" w:themeShade="0000BF"/>
      <w:lang w:val="en-GB"/>
    </w:rPr>
  </w:style>
  <w:style w:type="character" w:styleId="Heading6Char" w:customStyle="1">
    <w:name w:val="Heading 6 Char"/>
    <w:basedOn w:val="DefaultParagraphFont"/>
    <w:link w:val="Heading6"/>
    <w:uiPriority w:val="9"/>
    <w:semiHidden w:val="1"/>
    <w:rsid w:val="00D65391"/>
    <w:rPr>
      <w:rFonts w:cstheme="majorBidi" w:eastAsiaTheme="majorEastAsia"/>
      <w:i w:val="1"/>
      <w:iCs w:val="1"/>
      <w:color w:val="595959" w:themeColor="text1" w:themeTint="0000A6"/>
      <w:lang w:val="en-GB"/>
    </w:rPr>
  </w:style>
  <w:style w:type="character" w:styleId="Heading7Char" w:customStyle="1">
    <w:name w:val="Heading 7 Char"/>
    <w:basedOn w:val="DefaultParagraphFont"/>
    <w:link w:val="Heading7"/>
    <w:uiPriority w:val="9"/>
    <w:semiHidden w:val="1"/>
    <w:rsid w:val="00D65391"/>
    <w:rPr>
      <w:rFonts w:cstheme="majorBidi" w:eastAsiaTheme="majorEastAsia"/>
      <w:color w:val="595959" w:themeColor="text1" w:themeTint="0000A6"/>
      <w:lang w:val="en-GB"/>
    </w:rPr>
  </w:style>
  <w:style w:type="character" w:styleId="Heading8Char" w:customStyle="1">
    <w:name w:val="Heading 8 Char"/>
    <w:basedOn w:val="DefaultParagraphFont"/>
    <w:link w:val="Heading8"/>
    <w:uiPriority w:val="9"/>
    <w:semiHidden w:val="1"/>
    <w:rsid w:val="00D65391"/>
    <w:rPr>
      <w:rFonts w:cstheme="majorBidi" w:eastAsiaTheme="majorEastAsia"/>
      <w:i w:val="1"/>
      <w:iCs w:val="1"/>
      <w:color w:val="272727" w:themeColor="text1" w:themeTint="0000D8"/>
      <w:lang w:val="en-GB"/>
    </w:rPr>
  </w:style>
  <w:style w:type="character" w:styleId="Heading9Char" w:customStyle="1">
    <w:name w:val="Heading 9 Char"/>
    <w:basedOn w:val="DefaultParagraphFont"/>
    <w:link w:val="Heading9"/>
    <w:uiPriority w:val="9"/>
    <w:semiHidden w:val="1"/>
    <w:rsid w:val="00D65391"/>
    <w:rPr>
      <w:rFonts w:cstheme="majorBidi" w:eastAsiaTheme="majorEastAsia"/>
      <w:color w:val="272727" w:themeColor="text1" w:themeTint="0000D8"/>
      <w:lang w:val="en-GB"/>
    </w:rPr>
  </w:style>
  <w:style w:type="character" w:styleId="TitleChar" w:customStyle="1">
    <w:name w:val="Title Char"/>
    <w:basedOn w:val="DefaultParagraphFont"/>
    <w:link w:val="Title"/>
    <w:uiPriority w:val="10"/>
    <w:rsid w:val="00D65391"/>
    <w:rPr>
      <w:rFonts w:asciiTheme="majorHAnsi" w:cstheme="majorBidi" w:eastAsiaTheme="majorEastAsia" w:hAnsiTheme="majorHAnsi"/>
      <w:spacing w:val="-10"/>
      <w:kern w:val="28"/>
      <w:sz w:val="56"/>
      <w:szCs w:val="56"/>
      <w:lang w:val="en-GB"/>
    </w:rPr>
  </w:style>
  <w:style w:type="character" w:styleId="SubtitleChar" w:customStyle="1">
    <w:name w:val="Subtitle Char"/>
    <w:basedOn w:val="DefaultParagraphFont"/>
    <w:link w:val="Subtitle"/>
    <w:uiPriority w:val="11"/>
    <w:rsid w:val="00D65391"/>
    <w:rPr>
      <w:rFonts w:cstheme="majorBidi" w:eastAsiaTheme="majorEastAsia"/>
      <w:color w:val="595959" w:themeColor="text1" w:themeTint="0000A6"/>
      <w:spacing w:val="15"/>
      <w:sz w:val="28"/>
      <w:szCs w:val="28"/>
      <w:lang w:val="en-GB"/>
    </w:rPr>
  </w:style>
  <w:style w:type="paragraph" w:styleId="Quote">
    <w:name w:val="Quote"/>
    <w:basedOn w:val="Normal"/>
    <w:next w:val="Normal"/>
    <w:link w:val="QuoteChar"/>
    <w:uiPriority w:val="29"/>
    <w:qFormat w:val="1"/>
    <w:rsid w:val="00D6539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65391"/>
    <w:rPr>
      <w:i w:val="1"/>
      <w:iCs w:val="1"/>
      <w:color w:val="404040" w:themeColor="text1" w:themeTint="0000BF"/>
      <w:lang w:val="en-GB"/>
    </w:rPr>
  </w:style>
  <w:style w:type="paragraph" w:styleId="ListParagraph">
    <w:name w:val="List Paragraph"/>
    <w:basedOn w:val="Normal"/>
    <w:uiPriority w:val="34"/>
    <w:qFormat w:val="1"/>
    <w:rsid w:val="00D65391"/>
    <w:pPr>
      <w:ind w:left="720"/>
      <w:contextualSpacing w:val="1"/>
    </w:pPr>
  </w:style>
  <w:style w:type="character" w:styleId="IntenseEmphasis">
    <w:name w:val="Intense Emphasis"/>
    <w:basedOn w:val="DefaultParagraphFont"/>
    <w:uiPriority w:val="21"/>
    <w:qFormat w:val="1"/>
    <w:rsid w:val="00D65391"/>
    <w:rPr>
      <w:i w:val="1"/>
      <w:iCs w:val="1"/>
      <w:color w:val="0f4761" w:themeColor="accent1" w:themeShade="0000BF"/>
    </w:rPr>
  </w:style>
  <w:style w:type="paragraph" w:styleId="IntenseQuote">
    <w:name w:val="Intense Quote"/>
    <w:basedOn w:val="Normal"/>
    <w:next w:val="Normal"/>
    <w:link w:val="IntenseQuoteChar"/>
    <w:uiPriority w:val="30"/>
    <w:qFormat w:val="1"/>
    <w:rsid w:val="00D6539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65391"/>
    <w:rPr>
      <w:i w:val="1"/>
      <w:iCs w:val="1"/>
      <w:color w:val="0f4761" w:themeColor="accent1" w:themeShade="0000BF"/>
      <w:lang w:val="en-GB"/>
    </w:rPr>
  </w:style>
  <w:style w:type="character" w:styleId="IntenseReference">
    <w:name w:val="Intense Reference"/>
    <w:basedOn w:val="DefaultParagraphFont"/>
    <w:uiPriority w:val="32"/>
    <w:qFormat w:val="1"/>
    <w:rsid w:val="00D65391"/>
    <w:rPr>
      <w:b w:val="1"/>
      <w:bCs w:val="1"/>
      <w:smallCaps w:val="1"/>
      <w:color w:val="0f4761" w:themeColor="accent1" w:themeShade="0000BF"/>
      <w:spacing w:val="5"/>
    </w:rPr>
  </w:style>
  <w:style w:type="paragraph" w:styleId="NormalWeb">
    <w:name w:val="Normal (Web)"/>
    <w:basedOn w:val="Normal"/>
    <w:uiPriority w:val="99"/>
    <w:semiHidden w:val="1"/>
    <w:unhideWhenUsed w:val="1"/>
    <w:rsid w:val="00D65391"/>
    <w:pPr>
      <w:spacing w:after="100" w:afterAutospacing="1" w:before="100" w:beforeAutospacing="1" w:line="240" w:lineRule="auto"/>
    </w:pPr>
    <w:rPr>
      <w:rFonts w:ascii="Times New Roman" w:cs="Times New Roman" w:eastAsia="Times New Roman" w:hAnsi="Times New Roman"/>
      <w:kern w:val="0"/>
      <w:lang w:eastAsia="en-IE" w:val="en-I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2.png"/><Relationship Id="rId10" Type="http://schemas.openxmlformats.org/officeDocument/2006/relationships/image" Target="media/image13.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zF5LF6uLn3rpaEe+3nuXYduw5A==">CgMxLjAaJQoBMBIgCh4IB0IaCg9UaW1lcyBOZXcgUm9tYW4SB0d1bmdzdWgaIwoBMRIeChwIB0IYCg9UaW1lcyBOZXcgUm9tYW4SBUNhcmRv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MKATgSHgocCAdCGAoPVGltZXMgTmV3IFJvbWFuEgVDYXJkbxolCgE5EiAKHggHQhoKD1RpbWVzIE5ldyBSb21hbhIHR3VuZ3N1aBomCgIxMBIgCh4IB0IaCg9UaW1lcyBOZXcgUm9tYW4SB0d1bmdzdWgaJgoCMTESIAoeCAdCGgoPVGltZXMgTmV3IFJvbWFuEgdHdW5nc3Vo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GiQKAjE4Eh4KHAgHQhgKD1RpbWVzIE5ldyBSb21hbhIFQ2FyZG8aJAoCMTkSHgocCAdCGAoPVGltZXMgTmV3IFJvbWFuEgVDYXJkbzIOaC4xeTl0bG5vNzg0M2g4AGoiChRzdWdnZXN0LmNiYzRidm55bjB2aRIKWXUgV2FyIE15b3IhMUt0MVRNVVlJdmpUS3NyNFVXZzNrX1pkNTV2d0lvb01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2026-02-26T13:58:00Z</dcterms:created>
  <dc:creator>Maccon Kenny</dc:creator>
</cp:coreProperties>
</file>