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r>
        <w:t xml:space="preserve"/>
      </w:r>
    </w:p>
    <w:p>
      <w:pPr>
        <w:spacing w:after="80"/>
        <w:jc w:val="center"/>
      </w:pPr>
      <w:r>
        <w:rPr>
          <w:rFonts w:ascii="Calibri" w:cs="Calibri" w:eastAsia="Calibri" w:hAnsi="Calibri"/>
          <w:b/>
          <w:bCs/>
          <w:color w:val="1C7293"/>
          <w:sz w:val="26"/>
          <w:szCs w:val="26"/>
        </w:rPr>
        <w:t xml:space="preserve">OPEN SOURCE HARDWARE CERTIFICATION</w:t>
      </w:r>
    </w:p>
    <w:p>
      <w:pPr>
        <w:spacing w:after="40"/>
        <w:jc w:val="center"/>
      </w:pPr>
      <w:r>
        <w:rPr>
          <w:color w:val="555555"/>
          <w:sz w:val="22"/>
          <w:szCs w:val="22"/>
        </w:rPr>
        <w:t xml:space="preserve">Application &amp; Documentation Package</w:t>
      </w:r>
    </w:p>
    <w:p>
      <w:pPr>
        <w:spacing w:after="260"/>
      </w:pPr>
      <w:r>
        <w:t xml:space="preserve"/>
      </w:r>
    </w:p>
    <w:p>
      <w:pPr>
        <w:jc w:val="center"/>
      </w:pPr>
      <w:r>
        <w:rPr>
          <w:rFonts w:ascii="Cambria" w:cs="Cambria" w:eastAsia="Cambria" w:hAnsi="Cambria"/>
          <w:b/>
          <w:bCs/>
          <w:color w:val="0B3C5D"/>
          <w:sz w:val="76"/>
          <w:szCs w:val="76"/>
        </w:rPr>
        <w:t xml:space="preserve">JALSHUDDHI</w:t>
      </w:r>
    </w:p>
    <w:p>
      <w:pPr>
        <w:spacing w:after="200"/>
        <w:jc w:val="center"/>
      </w:pPr>
      <w:r>
        <w:rPr>
          <w:i/>
          <w:iCs/>
          <w:color w:val="1A1A1A"/>
          <w:sz w:val="26"/>
          <w:szCs w:val="26"/>
        </w:rPr>
        <w:t xml:space="preserve">Open Source River-Water Purification &amp; Monitoring System</w:t>
      </w:r>
    </w:p>
    <w:p>
      <w:pPr>
        <w:spacing w:after="120"/>
      </w:pPr>
      <w:r>
        <w:t xml:space="preserve"/>
      </w:r>
    </w:p>
    <w:p>
      <w:pPr>
        <w:spacing w:after="60"/>
        <w:jc w:val="center"/>
      </w:pPr>
      <w:r>
        <w:drawing>
          <wp:inline distT="0" distB="0" distL="0" distR="0">
            <wp:extent cx="51435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2609850"/>
                    </a:xfrm>
                    <a:prstGeom prst="rect">
                      <a:avLst/>
                    </a:prstGeom>
                  </pic:spPr>
                </pic:pic>
              </a:graphicData>
            </a:graphic>
          </wp:inline>
        </w:drawing>
      </w:r>
    </w:p>
    <w:p>
      <w:pPr>
        <w:spacing w:after="360"/>
        <w:jc w:val="center"/>
      </w:pPr>
      <w:r>
        <w:rPr>
          <w:i/>
          <w:iCs/>
          <w:color w:val="555555"/>
          <w:sz w:val="16"/>
          <w:szCs w:val="16"/>
        </w:rPr>
        <w:t xml:space="preserve">Modular inline unit: sensor chamber · multi-stage filtration · UV disinfection · ESP32 monitoring head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b/>
                <w:bCs/>
                <w:color w:val="0B3C5D"/>
                <w:sz w:val="19"/>
                <w:szCs w:val="19"/>
              </w:rPr>
              <w:t xml:space="preserve">Creator</w:t>
            </w:r>
          </w:p>
        </w:tc>
        <w:tc>
          <w:tcPr>
            <w:tcW w:type="dxa" w:w="6626"/>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2"/>
            </w:pPr>
            <w:r>
              <w:rPr>
                <w:sz w:val="19"/>
                <w:szCs w:val="19"/>
              </w:rPr>
              <w:t xml:space="preserve">Sayaan Mehta</w:t>
            </w:r>
          </w:p>
        </w:tc>
      </w:tr>
      <w:tr>
        <w:tc>
          <w:tcPr>
            <w:tcW w:type="dxa" w:w="2400"/>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b/>
                <w:bCs/>
                <w:color w:val="0B3C5D"/>
                <w:sz w:val="19"/>
                <w:szCs w:val="19"/>
              </w:rPr>
              <w:t xml:space="preserve">Mentor</w:t>
            </w:r>
          </w:p>
        </w:tc>
        <w:tc>
          <w:tcPr>
            <w:tcW w:type="dxa" w:w="6626"/>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2"/>
            </w:pPr>
            <w:r>
              <w:rPr>
                <w:sz w:val="19"/>
                <w:szCs w:val="19"/>
              </w:rPr>
              <w:t xml:space="preserve">Satyam Prakash</w:t>
            </w:r>
          </w:p>
        </w:tc>
      </w:tr>
      <w:tr>
        <w:tc>
          <w:tcPr>
            <w:tcW w:type="dxa" w:w="2400"/>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b/>
                <w:bCs/>
                <w:color w:val="0B3C5D"/>
                <w:sz w:val="19"/>
                <w:szCs w:val="19"/>
              </w:rPr>
              <w:t xml:space="preserve">Country of origin</w:t>
            </w:r>
          </w:p>
        </w:tc>
        <w:tc>
          <w:tcPr>
            <w:tcW w:type="dxa" w:w="6626"/>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2"/>
            </w:pPr>
            <w:r>
              <w:rPr>
                <w:sz w:val="19"/>
                <w:szCs w:val="19"/>
              </w:rPr>
              <w:t xml:space="preserve">India</w:t>
            </w:r>
          </w:p>
        </w:tc>
      </w:tr>
      <w:tr>
        <w:tc>
          <w:tcPr>
            <w:tcW w:type="dxa" w:w="2400"/>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b/>
                <w:bCs/>
                <w:color w:val="0B3C5D"/>
                <w:sz w:val="19"/>
                <w:szCs w:val="19"/>
              </w:rPr>
              <w:t xml:space="preserve">Project version</w:t>
            </w:r>
          </w:p>
        </w:tc>
        <w:tc>
          <w:tcPr>
            <w:tcW w:type="dxa" w:w="6626"/>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2"/>
            </w:pPr>
            <w:r>
              <w:rPr>
                <w:sz w:val="19"/>
                <w:szCs w:val="19"/>
              </w:rPr>
              <w:t xml:space="preserve">1.0.0</w:t>
            </w:r>
          </w:p>
        </w:tc>
      </w:tr>
      <w:tr>
        <w:tc>
          <w:tcPr>
            <w:tcW w:type="dxa" w:w="2400"/>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b/>
                <w:bCs/>
                <w:color w:val="0B3C5D"/>
                <w:sz w:val="19"/>
                <w:szCs w:val="19"/>
              </w:rPr>
              <w:t xml:space="preserve">Submission target</w:t>
            </w:r>
          </w:p>
        </w:tc>
        <w:tc>
          <w:tcPr>
            <w:tcW w:type="dxa" w:w="6626"/>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2"/>
            </w:pPr>
            <w:r>
              <w:rPr>
                <w:sz w:val="19"/>
                <w:szCs w:val="19"/>
              </w:rPr>
              <w:t xml:space="preserve">OSHWA Certification — application.oshwa.org/apply</w:t>
            </w:r>
          </w:p>
        </w:tc>
      </w:tr>
    </w:tbl>
    <w:p>
      <w:pPr>
        <w:spacing w:after="200"/>
      </w:pPr>
      <w:r>
        <w:t xml:space="preserve"/>
      </w:r>
    </w:p>
    <w:p>
      <w:pPr>
        <w:jc w:val="center"/>
      </w:pPr>
      <w:r>
        <w:rPr>
          <w:i/>
          <w:iCs/>
          <w:color w:val="555555"/>
          <w:sz w:val="16"/>
          <w:szCs w:val="16"/>
        </w:rPr>
        <w:t xml:space="preserve">This document is the complete, submission-ready certification package. Italicised notes mark the few fields you must replace (contact email, repository URL) before applying.</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Certification Application Summary</w:t>
      </w:r>
    </w:p>
    <w:p>
      <w:pPr>
        <w:spacing w:after="140" w:line="276"/>
      </w:pPr>
      <w:r>
        <w:t xml:space="preserve">OSHWA certification is a free, self-certification programme run by the Open Source Hardware Association. A creator confirms that their hardware meets the community Open Source Hardware Definition, submits the online form, and on approval receives a unique identifier (UID) and the right to use the certification mark. The table below contains every value the online application asks for, ready to transcribe.</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b/>
                <w:bCs/>
                <w:color w:val="0B3C5D"/>
                <w:sz w:val="19"/>
                <w:szCs w:val="19"/>
              </w:rPr>
              <w:t xml:space="preserve">Responsible party</w:t>
            </w:r>
          </w:p>
        </w:tc>
        <w:tc>
          <w:tcPr>
            <w:tcW w:type="dxa" w:w="6026"/>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2"/>
            </w:pPr>
            <w:r>
              <w:rPr>
                <w:sz w:val="19"/>
                <w:szCs w:val="19"/>
              </w:rPr>
              <w:t xml:space="preserve">Sayaan Mehta</w:t>
            </w:r>
          </w:p>
        </w:tc>
      </w:tr>
      <w:tr>
        <w:tc>
          <w:tcPr>
            <w:tcW w:type="dxa" w:w="3000"/>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b/>
                <w:bCs/>
                <w:color w:val="0B3C5D"/>
                <w:sz w:val="19"/>
                <w:szCs w:val="19"/>
              </w:rPr>
              <w:t xml:space="preserve">Public contact</w:t>
            </w:r>
          </w:p>
        </w:tc>
        <w:tc>
          <w:tcPr>
            <w:tcW w:type="dxa" w:w="6026"/>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2"/>
            </w:pPr>
            <w:r>
              <w:rPr>
                <w:sz w:val="19"/>
                <w:szCs w:val="19"/>
              </w:rPr>
              <w:t xml:space="preserve">[add project / student email]</w:t>
            </w:r>
          </w:p>
          <w:p>
            <w:pPr>
              <w:spacing w:after="0" w:line="240"/>
            </w:pPr>
            <w:r>
              <w:rPr>
                <w:i/>
                <w:iCs/>
                <w:color w:val="555555"/>
                <w:sz w:val="16"/>
                <w:szCs w:val="16"/>
              </w:rPr>
              <w:t xml:space="preserve">Required by the form — replace before submitting.</w:t>
            </w:r>
          </w:p>
        </w:tc>
      </w:tr>
      <w:tr>
        <w:tc>
          <w:tcPr>
            <w:tcW w:type="dxa" w:w="3000"/>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b/>
                <w:bCs/>
                <w:color w:val="0B3C5D"/>
                <w:sz w:val="19"/>
                <w:szCs w:val="19"/>
              </w:rPr>
              <w:t xml:space="preserve">Country of origin</w:t>
            </w:r>
          </w:p>
        </w:tc>
        <w:tc>
          <w:tcPr>
            <w:tcW w:type="dxa" w:w="6026"/>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2"/>
            </w:pPr>
            <w:r>
              <w:rPr>
                <w:sz w:val="19"/>
                <w:szCs w:val="19"/>
              </w:rPr>
              <w:t xml:space="preserve">India</w:t>
            </w:r>
          </w:p>
          <w:p>
            <w:pPr>
              <w:spacing w:after="0" w:line="240"/>
            </w:pPr>
            <w:r>
              <w:rPr>
                <w:i/>
                <w:iCs/>
                <w:color w:val="555555"/>
                <w:sz w:val="16"/>
                <w:szCs w:val="16"/>
              </w:rPr>
              <w:t xml:space="preserve">Sets the UID prefix (Indian projects use the IN prefix).</w:t>
            </w:r>
          </w:p>
        </w:tc>
      </w:tr>
      <w:tr>
        <w:tc>
          <w:tcPr>
            <w:tcW w:type="dxa" w:w="3000"/>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b/>
                <w:bCs/>
                <w:color w:val="0B3C5D"/>
                <w:sz w:val="19"/>
                <w:szCs w:val="19"/>
              </w:rPr>
              <w:t xml:space="preserve">Project name</w:t>
            </w:r>
          </w:p>
        </w:tc>
        <w:tc>
          <w:tcPr>
            <w:tcW w:type="dxa" w:w="6026"/>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2"/>
            </w:pPr>
            <w:r>
              <w:rPr>
                <w:sz w:val="19"/>
                <w:szCs w:val="19"/>
              </w:rPr>
              <w:t xml:space="preserve">JALSHUDDHI</w:t>
            </w:r>
          </w:p>
        </w:tc>
      </w:tr>
      <w:tr>
        <w:tc>
          <w:tcPr>
            <w:tcW w:type="dxa" w:w="3000"/>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b/>
                <w:bCs/>
                <w:color w:val="0B3C5D"/>
                <w:sz w:val="19"/>
                <w:szCs w:val="19"/>
              </w:rPr>
              <w:t xml:space="preserve">Project website</w:t>
            </w:r>
          </w:p>
        </w:tc>
        <w:tc>
          <w:tcPr>
            <w:tcW w:type="dxa" w:w="6026"/>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2"/>
            </w:pPr>
            <w:r>
              <w:rPr>
                <w:sz w:val="19"/>
                <w:szCs w:val="19"/>
              </w:rPr>
              <w:t xml:space="preserve">[add public repository URL, e.g. github.com/&lt;user&gt;/jalshuddhi]</w:t>
            </w:r>
          </w:p>
          <w:p>
            <w:pPr>
              <w:spacing w:after="0" w:line="240"/>
            </w:pPr>
            <w:r>
              <w:rPr>
                <w:i/>
                <w:iCs/>
                <w:color w:val="555555"/>
                <w:sz w:val="16"/>
                <w:szCs w:val="16"/>
              </w:rPr>
              <w:t xml:space="preserve">Must be live and contain the files in Section 7 before you apply.</w:t>
            </w:r>
          </w:p>
        </w:tc>
      </w:tr>
      <w:tr>
        <w:tc>
          <w:tcPr>
            <w:tcW w:type="dxa" w:w="3000"/>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b/>
                <w:bCs/>
                <w:color w:val="0B3C5D"/>
                <w:sz w:val="19"/>
                <w:szCs w:val="19"/>
              </w:rPr>
              <w:t xml:space="preserve">Project version</w:t>
            </w:r>
          </w:p>
        </w:tc>
        <w:tc>
          <w:tcPr>
            <w:tcW w:type="dxa" w:w="6026"/>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2"/>
            </w:pPr>
            <w:r>
              <w:rPr>
                <w:sz w:val="19"/>
                <w:szCs w:val="19"/>
              </w:rPr>
              <w:t xml:space="preserve">1.0.0</w:t>
            </w:r>
          </w:p>
        </w:tc>
      </w:tr>
      <w:tr>
        <w:tc>
          <w:tcPr>
            <w:tcW w:type="dxa" w:w="3000"/>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b/>
                <w:bCs/>
                <w:color w:val="0B3C5D"/>
                <w:sz w:val="19"/>
                <w:szCs w:val="19"/>
              </w:rPr>
              <w:t xml:space="preserve">Primary type</w:t>
            </w:r>
          </w:p>
        </w:tc>
        <w:tc>
          <w:tcPr>
            <w:tcW w:type="dxa" w:w="6026"/>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2"/>
            </w:pPr>
            <w:r>
              <w:rPr>
                <w:sz w:val="19"/>
                <w:szCs w:val="19"/>
              </w:rPr>
              <w:t xml:space="preserve">Environmental</w:t>
            </w:r>
          </w:p>
        </w:tc>
      </w:tr>
      <w:tr>
        <w:tc>
          <w:tcPr>
            <w:tcW w:type="dxa" w:w="3000"/>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b/>
                <w:bCs/>
                <w:color w:val="0B3C5D"/>
                <w:sz w:val="19"/>
                <w:szCs w:val="19"/>
              </w:rPr>
              <w:t xml:space="preserve">Additional type</w:t>
            </w:r>
          </w:p>
        </w:tc>
        <w:tc>
          <w:tcPr>
            <w:tcW w:type="dxa" w:w="6026"/>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2"/>
            </w:pPr>
            <w:r>
              <w:rPr>
                <w:sz w:val="19"/>
                <w:szCs w:val="19"/>
              </w:rPr>
              <w:t xml:space="preserve">Science  (Education is an equally valid choice)</w:t>
            </w:r>
          </w:p>
        </w:tc>
      </w:tr>
      <w:tr>
        <w:tc>
          <w:tcPr>
            <w:tcW w:type="dxa" w:w="3000"/>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b/>
                <w:bCs/>
                <w:color w:val="0B3C5D"/>
                <w:sz w:val="19"/>
                <w:szCs w:val="19"/>
              </w:rPr>
              <w:t xml:space="preserve">Hardware licence</w:t>
            </w:r>
          </w:p>
        </w:tc>
        <w:tc>
          <w:tcPr>
            <w:tcW w:type="dxa" w:w="6026"/>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2"/>
            </w:pPr>
            <w:r>
              <w:rPr>
                <w:sz w:val="19"/>
                <w:szCs w:val="19"/>
              </w:rPr>
              <w:t xml:space="preserve">CERN-OHL-S v2.0</w:t>
            </w:r>
          </w:p>
        </w:tc>
      </w:tr>
      <w:tr>
        <w:tc>
          <w:tcPr>
            <w:tcW w:type="dxa" w:w="3000"/>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b/>
                <w:bCs/>
                <w:color w:val="0B3C5D"/>
                <w:sz w:val="19"/>
                <w:szCs w:val="19"/>
              </w:rPr>
              <w:t xml:space="preserve">Software licence</w:t>
            </w:r>
          </w:p>
        </w:tc>
        <w:tc>
          <w:tcPr>
            <w:tcW w:type="dxa" w:w="6026"/>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2"/>
            </w:pPr>
            <w:r>
              <w:rPr>
                <w:sz w:val="19"/>
                <w:szCs w:val="19"/>
              </w:rPr>
              <w:t xml:space="preserve">MIT</w:t>
            </w:r>
          </w:p>
        </w:tc>
      </w:tr>
      <w:tr>
        <w:tc>
          <w:tcPr>
            <w:tcW w:type="dxa" w:w="3000"/>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b/>
                <w:bCs/>
                <w:color w:val="0B3C5D"/>
                <w:sz w:val="19"/>
                <w:szCs w:val="19"/>
              </w:rPr>
              <w:t xml:space="preserve">Documentation licence</w:t>
            </w:r>
          </w:p>
        </w:tc>
        <w:tc>
          <w:tcPr>
            <w:tcW w:type="dxa" w:w="6026"/>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2"/>
            </w:pPr>
            <w:r>
              <w:rPr>
                <w:sz w:val="19"/>
                <w:szCs w:val="19"/>
              </w:rPr>
              <w:t xml:space="preserve">CC BY-SA 4.0</w:t>
            </w:r>
          </w:p>
        </w:tc>
      </w:tr>
      <w:tr>
        <w:tc>
          <w:tcPr>
            <w:tcW w:type="dxa" w:w="3000"/>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b/>
                <w:bCs/>
                <w:color w:val="0B3C5D"/>
                <w:sz w:val="19"/>
                <w:szCs w:val="19"/>
              </w:rPr>
              <w:t xml:space="preserve">Documentation URL</w:t>
            </w:r>
          </w:p>
        </w:tc>
        <w:tc>
          <w:tcPr>
            <w:tcW w:type="dxa" w:w="6026"/>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2"/>
            </w:pPr>
            <w:r>
              <w:rPr>
                <w:sz w:val="19"/>
                <w:szCs w:val="19"/>
              </w:rPr>
              <w:t xml:space="preserve">[same public repository URL]</w:t>
            </w:r>
          </w:p>
        </w:tc>
      </w:tr>
      <w:tr>
        <w:tc>
          <w:tcPr>
            <w:tcW w:type="dxa" w:w="3000"/>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b/>
                <w:bCs/>
                <w:color w:val="0B3C5D"/>
                <w:sz w:val="19"/>
                <w:szCs w:val="19"/>
              </w:rPr>
              <w:t xml:space="preserve">OSHWA UID</w:t>
            </w:r>
          </w:p>
        </w:tc>
        <w:tc>
          <w:tcPr>
            <w:tcW w:type="dxa" w:w="6026"/>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2"/>
            </w:pPr>
            <w:r>
              <w:rPr>
                <w:sz w:val="19"/>
                <w:szCs w:val="19"/>
              </w:rPr>
              <w:t xml:space="preserve">Assigned on approval (format INxxxxxx)</w:t>
            </w:r>
          </w:p>
          <w:p>
            <w:pPr>
              <w:spacing w:after="0" w:line="240"/>
            </w:pPr>
            <w:r>
              <w:rPr>
                <w:i/>
                <w:iCs/>
                <w:color w:val="555555"/>
                <w:sz w:val="16"/>
                <w:szCs w:val="16"/>
              </w:rPr>
              <w:t xml:space="preserve">You do not choose this; OSHWA issues it.</w:t>
            </w:r>
          </w:p>
        </w:tc>
      </w:tr>
    </w:tbl>
    <w:p>
      <w:pPr>
        <w:spacing w:after="80"/>
      </w:pPr>
      <w:r>
        <w:t xml:space="preserve"/>
      </w:r>
    </w:p>
    <w:p>
      <w:pPr>
        <w:spacing w:after="60" w:line="276"/>
      </w:pPr>
      <w:r>
        <w:rPr>
          <w:b/>
          <w:bCs/>
        </w:rPr>
        <w:t xml:space="preserve">Project description (paste into the form's description field):</w:t>
      </w:r>
    </w:p>
    <w:p>
      <w:pPr>
        <w:pBdr>
          <w:left w:val="single" w:color="2E8BC0" w:sz="18" w:space="12"/>
        </w:pBdr>
        <w:spacing w:after="140" w:line="276"/>
        <w:ind w:left="200"/>
      </w:pPr>
      <w:r>
        <w:rPr>
          <w:i/>
          <w:iCs/>
          <w:sz w:val="20"/>
          <w:szCs w:val="20"/>
        </w:rPr>
        <w:t xml:space="preserve">JALSHUDDHI is a low-cost, repairable, inline water purifier with built-in water-quality monitoring. It draws raw river or canal water, passes it through a multi-stage filtration train (screen, sediment, carbon and ultrafiltration) followed by UV disinfection, and uses an ESP32 to measure pH, TDS, turbidity and temperature. Treated water is released to the clean outlet only when all four parameters fall inside a safe drinking-water window; otherwise the unit diverts to waste and displays a warning. It is designed for households that depend on surface water where no piped supply exists.</w:t>
      </w:r>
    </w:p>
    <w:p>
      <w:r>
        <w:br w:type="page"/>
      </w:r>
    </w:p>
    <w:p>
      <w:pPr>
        <w:pStyle w:val="Heading1"/>
      </w:pPr>
      <w:r>
        <w:t xml:space="preserve">2. Project Overview</w:t>
      </w:r>
    </w:p>
    <w:p>
      <w:pPr>
        <w:spacing w:after="140" w:line="276"/>
      </w:pPr>
      <w:r>
        <w:t xml:space="preserve">JALSHUDDHI (from the Hindi/Sanskrit for “water purification”) is an open source hardware project that pairs a conventional multi-stage water-purification train with a small electronic monitoring system. The combination matters: many low-cost purifiers clean water but give the user no way to know whether the output is actually safe. JALSHUDDHI measures the treated water in real time and physically withholds it from the clean outlet until the readings are within a safe range.</w:t>
      </w:r>
    </w:p>
    <w:p>
      <w:pPr>
        <w:spacing w:after="140" w:line="276"/>
      </w:pPr>
      <w:r>
        <w:t xml:space="preserve">The entire creator contribution — the enclosure design, the system integration, the wiring, and the firmware — is released under open licences so that any maker, school, or community group can reproduce, repair, and improve the unit. Off-the-shelf modules (the ESP32 board, sensor breakouts, pumps, UV lamp and filter cartridges) are standard components with publicly available datasheets.</w:t>
      </w:r>
    </w:p>
    <w:p>
      <w:pPr>
        <w:pStyle w:val="Heading3"/>
      </w:pPr>
      <w:r>
        <w:t xml:space="preserve">Project name note</w:t>
      </w:r>
    </w:p>
    <w:p>
      <w:pPr>
        <w:spacing w:after="140" w:line="276"/>
      </w:pPr>
      <w:r>
        <w:rPr>
          <w:i/>
          <w:iCs/>
          <w:color w:val="555555"/>
        </w:rPr>
        <w:t xml:space="preserve">“JALSHUDDHI” is a descriptive working name. OSHWA notes that descriptive names are harder to protect as trademarks; if the maker wants a stronger brand later, a more distinctive coined name can be adopted without affecting certification.</w:t>
      </w:r>
    </w:p>
    <w:p>
      <w:pPr>
        <w:pStyle w:val="Heading1"/>
      </w:pPr>
      <w:r>
        <w:t xml:space="preserve">3. Problem Statement &amp; Motivation</w:t>
      </w:r>
    </w:p>
    <w:p>
      <w:pPr>
        <w:spacing w:after="140" w:line="276"/>
      </w:pPr>
      <w:r>
        <w:t xml:space="preserve">The project takes Karnal district in Haryana, India as its reference setting. The need it addresses is the gap between the number of households and the number with a safe, authorised water supply.</w:t>
      </w:r>
    </w:p>
    <w:p>
      <w:pPr>
        <w:pStyle w:val="ListParagraph"/>
        <w:numPr>
          <w:ilvl w:val="0"/>
          <w:numId w:val="2"/>
        </w:numPr>
        <w:spacing w:after="60" w:line="264"/>
      </w:pPr>
      <w:r>
        <w:t xml:space="preserve">Municipal records for the Karnal Municipal Corporation area indicate that of about 116,051 assessed properties, only roughly 40,957 hold a legal water (and sewer) connection — meaning on the order of 64.7% of properties lack an authorised piped-water supply into the premises.</w:t>
      </w:r>
    </w:p>
    <w:p>
      <w:pPr>
        <w:pStyle w:val="ListParagraph"/>
        <w:numPr>
          <w:ilvl w:val="0"/>
          <w:numId w:val="2"/>
        </w:numPr>
        <w:spacing w:after="60" w:line="264"/>
      </w:pPr>
      <w:r>
        <w:t xml:space="preserve">In the western parts of the district, groundwater is frequently saline, which pushes communities toward canal-fed schemes. Where piped infrastructure has not yet been laid, households fall back on surface water — largely the Yamuna and its canals — for everyday use.</w:t>
      </w:r>
    </w:p>
    <w:p>
      <w:pPr>
        <w:pStyle w:val="ListParagraph"/>
        <w:numPr>
          <w:ilvl w:val="0"/>
          <w:numId w:val="2"/>
        </w:numPr>
        <w:spacing w:after="60" w:line="264"/>
      </w:pPr>
      <w:r>
        <w:t xml:space="preserve">Planned pipeline expansion (for example under AMRUT-2) has faced delays in technical approval, funding and clearances, so the gap persists in newly regularised colonies and peripheral areas.</w:t>
      </w:r>
    </w:p>
    <w:p>
      <w:pPr>
        <w:pStyle w:val="ListParagraph"/>
        <w:numPr>
          <w:ilvl w:val="0"/>
          <w:numId w:val="2"/>
        </w:numPr>
        <w:spacing w:after="60" w:line="264"/>
      </w:pPr>
      <w:r>
        <w:t xml:space="preserve">The problem is not unique to Karnal: WHO and UNICEF have estimated that roughly one in three people worldwide do not have access to safely managed drinking water.</w:t>
      </w:r>
    </w:p>
    <w:p>
      <w:pPr>
        <w:spacing w:after="40"/>
      </w:pPr>
      <w:r>
        <w:t xml:space="preserve"/>
      </w:r>
    </w:p>
    <w:p>
      <w:pPr>
        <w:spacing w:after="140" w:line="276"/>
      </w:pPr>
      <w:r>
        <w:t xml:space="preserve">Against this backdrop, a purifier that is cheap to build, easy to repair from locally available parts, openly documented, and able to tell the user whether the water is safe has clear social value. The maker's motivation also draws on community work carried out through the Vikas Foundation, a youth initiative focused on helping under-served communities.</w:t>
      </w:r>
    </w:p>
    <w:p>
      <w:pPr>
        <w:pStyle w:val="Heading1"/>
      </w:pPr>
      <w:r>
        <w:t xml:space="preserve">4. System Architecture &amp; Design</w:t>
      </w:r>
    </w:p>
    <w:p>
      <w:pPr>
        <w:pStyle w:val="Heading2"/>
      </w:pPr>
      <w:r>
        <w:t xml:space="preserve">4.1 Filtration &amp; disinfection train</w:t>
      </w:r>
    </w:p>
    <w:p>
      <w:pPr>
        <w:spacing w:after="140" w:line="276"/>
      </w:pPr>
      <w:r>
        <w:t xml:space="preserve">Water flows through the following stages. Each stage targets a different class of contaminant, ending with a barrier (ultrafiltration) and disinfection (UV).</w:t>
      </w:r>
    </w:p>
    <w:p>
      <w:pPr>
        <w:spacing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E8F1F5" w:val="clear"/>
            <w:tcMar>
              <w:top w:type="dxa" w:w="110"/>
              <w:left w:type="dxa" w:w="140"/>
              <w:bottom w:type="dxa" w:w="110"/>
              <w:right w:type="dxa" w:w="140"/>
            </w:tcMar>
          </w:tcPr>
          <w:p>
            <w:pPr>
              <w:jc w:val="center"/>
            </w:pPr>
            <w:r>
              <w:rPr>
                <w:b/>
                <w:bCs/>
                <w:color w:val="0B3C5D"/>
                <w:sz w:val="19"/>
                <w:szCs w:val="19"/>
              </w:rPr>
              <w:t xml:space="preserve">Submersible Pump  →  Screen Filter  →  Pre-Filter  →  Sediment  →  Pre-Carbon  →  Post-Carbon  →  Solenoid Valve  →  Booster Pump  →  UF Membrane  →  UV Chamber  →  Clean outlet</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BBBBB" w:sz="1"/>
              <w:left w:val="single" w:color="BBBBBB" w:sz="1"/>
              <w:bottom w:val="single" w:color="BBBBBB" w:sz="1"/>
              <w:right w:val="single" w:color="BBBBBB" w:sz="1"/>
            </w:tcBorders>
            <w:shd w:fill="0B3C5D" w:val="clear"/>
            <w:tcMar>
              <w:top w:type="dxa" w:w="70"/>
              <w:left w:type="dxa" w:w="110"/>
              <w:bottom w:type="dxa" w:w="70"/>
              <w:right w:type="dxa" w:w="110"/>
            </w:tcMar>
            <w:vAlign w:val="center"/>
          </w:tcPr>
          <w:p>
            <w:pPr>
              <w:spacing w:after="0" w:line="252"/>
            </w:pPr>
            <w:r>
              <w:rPr>
                <w:b/>
                <w:bCs/>
                <w:color w:val="FFFFFF"/>
                <w:sz w:val="19"/>
                <w:szCs w:val="19"/>
              </w:rPr>
              <w:t xml:space="preserve">Stage</w:t>
            </w:r>
          </w:p>
        </w:tc>
        <w:tc>
          <w:tcPr>
            <w:tcW w:type="dxa" w:w="6726"/>
            <w:tcBorders>
              <w:top w:val="single" w:color="BBBBBB" w:sz="1"/>
              <w:left w:val="single" w:color="BBBBBB" w:sz="1"/>
              <w:bottom w:val="single" w:color="BBBBBB" w:sz="1"/>
              <w:right w:val="single" w:color="BBBBBB" w:sz="1"/>
            </w:tcBorders>
            <w:shd w:fill="0B3C5D" w:val="clear"/>
            <w:tcMar>
              <w:top w:type="dxa" w:w="70"/>
              <w:left w:type="dxa" w:w="110"/>
              <w:bottom w:type="dxa" w:w="70"/>
              <w:right w:type="dxa" w:w="110"/>
            </w:tcMar>
            <w:vAlign w:val="center"/>
          </w:tcPr>
          <w:p>
            <w:pPr>
              <w:spacing w:after="0" w:line="252"/>
            </w:pPr>
            <w:r>
              <w:rPr>
                <w:b/>
                <w:bCs/>
                <w:color w:val="FFFFFF"/>
                <w:sz w:val="19"/>
                <w:szCs w:val="19"/>
              </w:rPr>
              <w:t xml:space="preserve">Purpose</w:t>
            </w:r>
          </w:p>
        </w:tc>
      </w:tr>
      <w:tr>
        <w:tc>
          <w:tcPr>
            <w:tcW w:type="dxa" w:w="2300"/>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b/>
                <w:bCs/>
                <w:color w:val="0B3C5D"/>
                <w:sz w:val="19"/>
                <w:szCs w:val="19"/>
              </w:rPr>
              <w:t xml:space="preserve">Submersible pump</w:t>
            </w:r>
          </w:p>
        </w:tc>
        <w:tc>
          <w:tcPr>
            <w:tcW w:type="dxa" w:w="6726"/>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sz w:val="19"/>
                <w:szCs w:val="19"/>
              </w:rPr>
              <w:t xml:space="preserve">Draws raw water from the river/canal source into the unit.</w:t>
            </w:r>
          </w:p>
        </w:tc>
      </w:tr>
      <w:tr>
        <w:tc>
          <w:tcPr>
            <w:tcW w:type="dxa" w:w="2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pPr>
            <w:r>
              <w:rPr>
                <w:b/>
                <w:bCs/>
                <w:color w:val="0B3C5D"/>
                <w:sz w:val="19"/>
                <w:szCs w:val="19"/>
              </w:rPr>
              <w:t xml:space="preserve">Screen filter</w:t>
            </w:r>
          </w:p>
        </w:tc>
        <w:tc>
          <w:tcPr>
            <w:tcW w:type="dxa" w:w="6726"/>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pPr>
            <w:r>
              <w:rPr>
                <w:sz w:val="19"/>
                <w:szCs w:val="19"/>
              </w:rPr>
              <w:t xml:space="preserve">Coarse Y-type strainer that removes grit, leaves and large particulate at the intake.</w:t>
            </w:r>
          </w:p>
        </w:tc>
      </w:tr>
      <w:tr>
        <w:tc>
          <w:tcPr>
            <w:tcW w:type="dxa" w:w="2300"/>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b/>
                <w:bCs/>
                <w:color w:val="0B3C5D"/>
                <w:sz w:val="19"/>
                <w:szCs w:val="19"/>
              </w:rPr>
              <w:t xml:space="preserve">Pre-filter</w:t>
            </w:r>
          </w:p>
        </w:tc>
        <w:tc>
          <w:tcPr>
            <w:tcW w:type="dxa" w:w="6726"/>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sz w:val="19"/>
                <w:szCs w:val="19"/>
              </w:rPr>
              <w:t xml:space="preserve">Spun polypropylene filter for finer suspended solids.</w:t>
            </w:r>
          </w:p>
        </w:tc>
      </w:tr>
      <w:tr>
        <w:tc>
          <w:tcPr>
            <w:tcW w:type="dxa" w:w="2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pPr>
            <w:r>
              <w:rPr>
                <w:b/>
                <w:bCs/>
                <w:color w:val="0B3C5D"/>
                <w:sz w:val="19"/>
                <w:szCs w:val="19"/>
              </w:rPr>
              <w:t xml:space="preserve">Sediment cartridge</w:t>
            </w:r>
          </w:p>
        </w:tc>
        <w:tc>
          <w:tcPr>
            <w:tcW w:type="dxa" w:w="6726"/>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pPr>
            <w:r>
              <w:rPr>
                <w:sz w:val="19"/>
                <w:szCs w:val="19"/>
              </w:rPr>
              <w:t xml:space="preserve">Removes remaining fine sediment (~5 micron) to protect downstream media.</w:t>
            </w:r>
          </w:p>
        </w:tc>
      </w:tr>
      <w:tr>
        <w:tc>
          <w:tcPr>
            <w:tcW w:type="dxa" w:w="2300"/>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b/>
                <w:bCs/>
                <w:color w:val="0B3C5D"/>
                <w:sz w:val="19"/>
                <w:szCs w:val="19"/>
              </w:rPr>
              <w:t xml:space="preserve">Pre-carbon</w:t>
            </w:r>
          </w:p>
        </w:tc>
        <w:tc>
          <w:tcPr>
            <w:tcW w:type="dxa" w:w="6726"/>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sz w:val="19"/>
                <w:szCs w:val="19"/>
              </w:rPr>
              <w:t xml:space="preserve">Activated carbon stage that adsorbs chlorine, odour and organic compounds.</w:t>
            </w:r>
          </w:p>
        </w:tc>
      </w:tr>
      <w:tr>
        <w:tc>
          <w:tcPr>
            <w:tcW w:type="dxa" w:w="2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pPr>
            <w:r>
              <w:rPr>
                <w:b/>
                <w:bCs/>
                <w:color w:val="0B3C5D"/>
                <w:sz w:val="19"/>
                <w:szCs w:val="19"/>
              </w:rPr>
              <w:t xml:space="preserve">Post-carbon</w:t>
            </w:r>
          </w:p>
        </w:tc>
        <w:tc>
          <w:tcPr>
            <w:tcW w:type="dxa" w:w="6726"/>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pPr>
            <w:r>
              <w:rPr>
                <w:sz w:val="19"/>
                <w:szCs w:val="19"/>
              </w:rPr>
              <w:t xml:space="preserve">Polishing carbon stage that improves taste and removes residual organics.</w:t>
            </w:r>
          </w:p>
        </w:tc>
      </w:tr>
      <w:tr>
        <w:tc>
          <w:tcPr>
            <w:tcW w:type="dxa" w:w="2300"/>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b/>
                <w:bCs/>
                <w:color w:val="0B3C5D"/>
                <w:sz w:val="19"/>
                <w:szCs w:val="19"/>
              </w:rPr>
              <w:t xml:space="preserve">Solenoid valve</w:t>
            </w:r>
          </w:p>
        </w:tc>
        <w:tc>
          <w:tcPr>
            <w:tcW w:type="dxa" w:w="6726"/>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sz w:val="19"/>
                <w:szCs w:val="19"/>
              </w:rPr>
              <w:t xml:space="preserve">Electrically controlled diverter — sends first-pass / unsafe water to waste.</w:t>
            </w:r>
          </w:p>
        </w:tc>
      </w:tr>
      <w:tr>
        <w:tc>
          <w:tcPr>
            <w:tcW w:type="dxa" w:w="2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pPr>
            <w:r>
              <w:rPr>
                <w:b/>
                <w:bCs/>
                <w:color w:val="0B3C5D"/>
                <w:sz w:val="19"/>
                <w:szCs w:val="19"/>
              </w:rPr>
              <w:t xml:space="preserve">Booster pump</w:t>
            </w:r>
          </w:p>
        </w:tc>
        <w:tc>
          <w:tcPr>
            <w:tcW w:type="dxa" w:w="6726"/>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pPr>
            <w:r>
              <w:rPr>
                <w:sz w:val="19"/>
                <w:szCs w:val="19"/>
              </w:rPr>
              <w:t xml:space="preserve">Raises pressure to push water through the ultrafiltration membrane.</w:t>
            </w:r>
          </w:p>
        </w:tc>
      </w:tr>
      <w:tr>
        <w:tc>
          <w:tcPr>
            <w:tcW w:type="dxa" w:w="2300"/>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b/>
                <w:bCs/>
                <w:color w:val="0B3C5D"/>
                <w:sz w:val="19"/>
                <w:szCs w:val="19"/>
              </w:rPr>
              <w:t xml:space="preserve">UF membrane</w:t>
            </w:r>
          </w:p>
        </w:tc>
        <w:tc>
          <w:tcPr>
            <w:tcW w:type="dxa" w:w="6726"/>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sz w:val="19"/>
                <w:szCs w:val="19"/>
              </w:rPr>
              <w:t xml:space="preserve">Ultrafiltration (~0.01 micron) barrier against bacteria, cysts and colloids.</w:t>
            </w:r>
          </w:p>
        </w:tc>
      </w:tr>
      <w:tr>
        <w:tc>
          <w:tcPr>
            <w:tcW w:type="dxa" w:w="2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pPr>
            <w:r>
              <w:rPr>
                <w:b/>
                <w:bCs/>
                <w:color w:val="0B3C5D"/>
                <w:sz w:val="19"/>
                <w:szCs w:val="19"/>
              </w:rPr>
              <w:t xml:space="preserve">UV chamber</w:t>
            </w:r>
          </w:p>
        </w:tc>
        <w:tc>
          <w:tcPr>
            <w:tcW w:type="dxa" w:w="6726"/>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pPr>
            <w:r>
              <w:rPr>
                <w:sz w:val="19"/>
                <w:szCs w:val="19"/>
              </w:rPr>
              <w:t xml:space="preserve">UV-C disinfection of any surviving micro-organisms before the clean outlet.</w:t>
            </w:r>
          </w:p>
        </w:tc>
      </w:tr>
    </w:tbl>
    <w:p>
      <w:pPr>
        <w:pStyle w:val="Heading2"/>
      </w:pPr>
      <w:r>
        <w:t xml:space="preserve">4.2 Water-quality monitoring subsystem</w:t>
      </w:r>
    </w:p>
    <w:p>
      <w:pPr>
        <w:spacing w:after="140" w:line="276"/>
      </w:pPr>
      <w:r>
        <w:t xml:space="preserve">An ESP32 microcontroller reads four parameters from probes mounted at the treated-water (outlet) side, so the values reflect the water the user is about to receive.</w:t>
      </w:r>
    </w:p>
    <w:p>
      <w:pPr>
        <w:pStyle w:val="ListParagraph"/>
        <w:numPr>
          <w:ilvl w:val="0"/>
          <w:numId w:val="2"/>
        </w:numPr>
        <w:spacing w:after="60" w:line="264"/>
      </w:pPr>
      <w:r>
        <w:rPr>
          <w:b/>
          <w:bCs/>
        </w:rPr>
        <w:t xml:space="preserve">pH </w:t>
      </w:r>
      <w:r>
        <w:t xml:space="preserve">— two-point calibrated analog probe, temperature-compensated.</w:t>
      </w:r>
    </w:p>
    <w:p>
      <w:pPr>
        <w:pStyle w:val="ListParagraph"/>
        <w:numPr>
          <w:ilvl w:val="0"/>
          <w:numId w:val="2"/>
        </w:numPr>
        <w:spacing w:after="60" w:line="264"/>
      </w:pPr>
      <w:r>
        <w:rPr>
          <w:b/>
          <w:bCs/>
        </w:rPr>
        <w:t xml:space="preserve">TDS </w:t>
      </w:r>
      <w:r>
        <w:t xml:space="preserve">— total dissolved solids in ppm, with standard temperature compensation.</w:t>
      </w:r>
    </w:p>
    <w:p>
      <w:pPr>
        <w:pStyle w:val="ListParagraph"/>
        <w:numPr>
          <w:ilvl w:val="0"/>
          <w:numId w:val="2"/>
        </w:numPr>
        <w:spacing w:after="60" w:line="264"/>
      </w:pPr>
      <w:r>
        <w:rPr>
          <w:b/>
          <w:bCs/>
        </w:rPr>
        <w:t xml:space="preserve">Turbidity </w:t>
      </w:r>
      <w:r>
        <w:t xml:space="preserve">— optical sensor reporting NTU, clamped to a clear-water baseline.</w:t>
      </w:r>
    </w:p>
    <w:p>
      <w:pPr>
        <w:pStyle w:val="ListParagraph"/>
        <w:numPr>
          <w:ilvl w:val="0"/>
          <w:numId w:val="2"/>
        </w:numPr>
        <w:spacing w:after="60" w:line="264"/>
      </w:pPr>
      <w:r>
        <w:rPr>
          <w:b/>
          <w:bCs/>
        </w:rPr>
        <w:t xml:space="preserve">Temperature </w:t>
      </w:r>
      <w:r>
        <w:t xml:space="preserve">— DS18B20 digital probe, also used to compensate the pH and TDS readings.</w:t>
      </w:r>
    </w:p>
    <w:p>
      <w:pPr>
        <w:spacing w:after="140" w:line="276"/>
      </w:pPr>
      <w:r>
        <w:t xml:space="preserve">Live values are shown on a 16×2 I²C LCD in the controller head, and streamed over the serial port for debugging. An on-board LED indicates at a glance whether the current water is within the safe window.</w:t>
      </w:r>
    </w:p>
    <w:p>
      <w:pPr>
        <w:pStyle w:val="Heading2"/>
      </w:pPr>
      <w:r>
        <w:t xml:space="preserve">4.3 Control logic &amp; safety</w:t>
      </w:r>
    </w:p>
    <w:p>
      <w:pPr>
        <w:spacing w:after="140" w:line="276"/>
      </w:pPr>
      <w:r>
        <w:t xml:space="preserve">The firmware runs a non-blocking finite state machine. Crucially, water reaches the clean outlet only in the RUNNING state, and only while every parameter is within range; the moment a reading drifts out of bounds the unit moves to HOLD and diverts to waste.</w:t>
      </w:r>
    </w:p>
    <w:p>
      <w:pPr>
        <w:spacing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BBBBB" w:sz="1"/>
              <w:left w:val="single" w:color="BBBBBB" w:sz="1"/>
              <w:bottom w:val="single" w:color="BBBBBB" w:sz="1"/>
              <w:right w:val="single" w:color="BBBBBB" w:sz="1"/>
            </w:tcBorders>
            <w:shd w:fill="0B3C5D" w:val="clear"/>
            <w:tcMar>
              <w:top w:type="dxa" w:w="70"/>
              <w:left w:type="dxa" w:w="110"/>
              <w:bottom w:type="dxa" w:w="70"/>
              <w:right w:type="dxa" w:w="110"/>
            </w:tcMar>
            <w:vAlign w:val="center"/>
          </w:tcPr>
          <w:p>
            <w:pPr>
              <w:spacing w:after="0" w:line="252"/>
            </w:pPr>
            <w:r>
              <w:rPr>
                <w:b/>
                <w:bCs/>
                <w:color w:val="FFFFFF"/>
                <w:sz w:val="19"/>
                <w:szCs w:val="19"/>
              </w:rPr>
              <w:t xml:space="preserve">State</w:t>
            </w:r>
          </w:p>
        </w:tc>
        <w:tc>
          <w:tcPr>
            <w:tcW w:type="dxa" w:w="6726"/>
            <w:tcBorders>
              <w:top w:val="single" w:color="BBBBBB" w:sz="1"/>
              <w:left w:val="single" w:color="BBBBBB" w:sz="1"/>
              <w:bottom w:val="single" w:color="BBBBBB" w:sz="1"/>
              <w:right w:val="single" w:color="BBBBBB" w:sz="1"/>
            </w:tcBorders>
            <w:shd w:fill="0B3C5D" w:val="clear"/>
            <w:tcMar>
              <w:top w:type="dxa" w:w="70"/>
              <w:left w:type="dxa" w:w="110"/>
              <w:bottom w:type="dxa" w:w="70"/>
              <w:right w:type="dxa" w:w="110"/>
            </w:tcMar>
            <w:vAlign w:val="center"/>
          </w:tcPr>
          <w:p>
            <w:pPr>
              <w:spacing w:after="0" w:line="252"/>
            </w:pPr>
            <w:r>
              <w:rPr>
                <w:b/>
                <w:bCs/>
                <w:color w:val="FFFFFF"/>
                <w:sz w:val="19"/>
                <w:szCs w:val="19"/>
              </w:rPr>
              <w:t xml:space="preserve">Behaviour</w:t>
            </w:r>
          </w:p>
        </w:tc>
      </w:tr>
      <w:tr>
        <w:tc>
          <w:tcPr>
            <w:tcW w:type="dxa" w:w="2300"/>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b/>
                <w:bCs/>
                <w:color w:val="0B3C5D"/>
                <w:sz w:val="19"/>
                <w:szCs w:val="19"/>
              </w:rPr>
              <w:t xml:space="preserve">IDLE</w:t>
            </w:r>
          </w:p>
        </w:tc>
        <w:tc>
          <w:tcPr>
            <w:tcW w:type="dxa" w:w="6726"/>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sz w:val="19"/>
                <w:szCs w:val="19"/>
              </w:rPr>
              <w:t xml:space="preserve">All actuators off. Waits for the user to press the start button.</w:t>
            </w:r>
          </w:p>
        </w:tc>
      </w:tr>
      <w:tr>
        <w:tc>
          <w:tcPr>
            <w:tcW w:type="dxa" w:w="2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pPr>
            <w:r>
              <w:rPr>
                <w:b/>
                <w:bCs/>
                <w:color w:val="0B3C5D"/>
                <w:sz w:val="19"/>
                <w:szCs w:val="19"/>
              </w:rPr>
              <w:t xml:space="preserve">PRIMING</w:t>
            </w:r>
          </w:p>
        </w:tc>
        <w:tc>
          <w:tcPr>
            <w:tcW w:type="dxa" w:w="6726"/>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pPr>
            <w:r>
              <w:rPr>
                <w:sz w:val="19"/>
                <w:szCs w:val="19"/>
              </w:rPr>
              <w:t xml:space="preserve">Intake pump fills the filter train; outlet still closed.</w:t>
            </w:r>
          </w:p>
        </w:tc>
      </w:tr>
      <w:tr>
        <w:tc>
          <w:tcPr>
            <w:tcW w:type="dxa" w:w="2300"/>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b/>
                <w:bCs/>
                <w:color w:val="0B3C5D"/>
                <w:sz w:val="19"/>
                <w:szCs w:val="19"/>
              </w:rPr>
              <w:t xml:space="preserve">FLUSHING</w:t>
            </w:r>
          </w:p>
        </w:tc>
        <w:tc>
          <w:tcPr>
            <w:tcW w:type="dxa" w:w="6726"/>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sz w:val="19"/>
                <w:szCs w:val="19"/>
              </w:rPr>
              <w:t xml:space="preserve">First-pass water is sent to waste through the solenoid valve.</w:t>
            </w:r>
          </w:p>
        </w:tc>
      </w:tr>
      <w:tr>
        <w:tc>
          <w:tcPr>
            <w:tcW w:type="dxa" w:w="2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pPr>
            <w:r>
              <w:rPr>
                <w:b/>
                <w:bCs/>
                <w:color w:val="0B3C5D"/>
                <w:sz w:val="19"/>
                <w:szCs w:val="19"/>
              </w:rPr>
              <w:t xml:space="preserve">RUNNING</w:t>
            </w:r>
          </w:p>
        </w:tc>
        <w:tc>
          <w:tcPr>
            <w:tcW w:type="dxa" w:w="6726"/>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pPr>
            <w:r>
              <w:rPr>
                <w:sz w:val="19"/>
                <w:szCs w:val="19"/>
              </w:rPr>
              <w:t xml:space="preserve">Booster pump and UV lamp on, valve closed → water flows to the clean outlet while readings stay safe.</w:t>
            </w:r>
          </w:p>
        </w:tc>
      </w:tr>
      <w:tr>
        <w:tc>
          <w:tcPr>
            <w:tcW w:type="dxa" w:w="2300"/>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b/>
                <w:bCs/>
                <w:color w:val="0B3C5D"/>
                <w:sz w:val="19"/>
                <w:szCs w:val="19"/>
              </w:rPr>
              <w:t xml:space="preserve">HOLD_UNSAFE</w:t>
            </w:r>
          </w:p>
        </w:tc>
        <w:tc>
          <w:tcPr>
            <w:tcW w:type="dxa" w:w="6726"/>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sz w:val="19"/>
                <w:szCs w:val="19"/>
              </w:rPr>
              <w:t xml:space="preserve">A parameter is out of range: booster stops, valve diverts to waste, LCD warns. Resumes automatically when readings recover.</w:t>
            </w:r>
          </w:p>
        </w:tc>
      </w:tr>
      <w:tr>
        <w:tc>
          <w:tcPr>
            <w:tcW w:type="dxa" w:w="2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pPr>
            <w:r>
              <w:rPr>
                <w:b/>
                <w:bCs/>
                <w:color w:val="0B3C5D"/>
                <w:sz w:val="19"/>
                <w:szCs w:val="19"/>
              </w:rPr>
              <w:t xml:space="preserve">FAULT</w:t>
            </w:r>
          </w:p>
        </w:tc>
        <w:tc>
          <w:tcPr>
            <w:tcW w:type="dxa" w:w="6726"/>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pPr>
            <w:r>
              <w:rPr>
                <w:sz w:val="19"/>
                <w:szCs w:val="19"/>
              </w:rPr>
              <w:t xml:space="preserve">Temperature probe missing/disconnected: everything off, error shown.</w:t>
            </w:r>
          </w:p>
        </w:tc>
      </w:tr>
    </w:tbl>
    <w:p>
      <w:pPr>
        <w:spacing w:after="60"/>
      </w:pPr>
      <w:r>
        <w:t xml:space="preserve"/>
      </w:r>
    </w:p>
    <w:p>
      <w:pPr>
        <w:spacing w:after="140" w:line="276"/>
      </w:pPr>
      <w:r>
        <w:rPr>
          <w:i/>
          <w:iCs/>
          <w:color w:val="555555"/>
        </w:rPr>
        <w:t xml:space="preserve">Default safe window (editable to match the local standard, e.g. BIS 10500): pH 6.5–8.5, TDS ≤ 500 ppm, turbidity ≤ 5 NTU. These are defined as named constants at the top of the firmware.</w:t>
      </w:r>
    </w:p>
    <w:p>
      <w:pPr>
        <w:pStyle w:val="Heading2"/>
      </w:pPr>
      <w:r>
        <w:t xml:space="preserve">4.4 Physical enclosure</w:t>
      </w:r>
    </w:p>
    <w:p>
      <w:pPr>
        <w:spacing w:after="80"/>
        <w:jc w:val="center"/>
      </w:pPr>
      <w:r>
        <w:drawing>
          <wp:inline distT="0" distB="0" distL="0" distR="0">
            <wp:extent cx="49530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514600"/>
                    </a:xfrm>
                    <a:prstGeom prst="rect">
                      <a:avLst/>
                    </a:prstGeom>
                  </pic:spPr>
                </pic:pic>
              </a:graphicData>
            </a:graphic>
          </wp:inline>
        </w:drawing>
      </w:r>
    </w:p>
    <w:p>
      <w:pPr>
        <w:spacing w:after="140" w:line="276"/>
      </w:pPr>
      <w:r>
        <w:t xml:space="preserve">The enclosure is a modular inline body, designed for 3D printing, with four functional sections:</w:t>
      </w:r>
    </w:p>
    <w:p>
      <w:pPr>
        <w:pStyle w:val="ListParagraph"/>
        <w:numPr>
          <w:ilvl w:val="0"/>
          <w:numId w:val="3"/>
        </w:numPr>
        <w:spacing w:after="60" w:line="264"/>
      </w:pPr>
      <w:r>
        <w:t xml:space="preserve">Sensor mounting chamber — houses the pH, TDS, turbidity and temperature probes.</w:t>
      </w:r>
    </w:p>
    <w:p>
      <w:pPr>
        <w:pStyle w:val="ListParagraph"/>
        <w:numPr>
          <w:ilvl w:val="0"/>
          <w:numId w:val="3"/>
        </w:numPr>
        <w:spacing w:after="60" w:line="264"/>
      </w:pPr>
      <w:r>
        <w:t xml:space="preserve">Filtration system — the central body holding the cartridge stack.</w:t>
      </w:r>
    </w:p>
    <w:p>
      <w:pPr>
        <w:pStyle w:val="ListParagraph"/>
        <w:numPr>
          <w:ilvl w:val="0"/>
          <w:numId w:val="3"/>
        </w:numPr>
        <w:spacing w:after="60" w:line="264"/>
      </w:pPr>
      <w:r>
        <w:t xml:space="preserve">Pump section — the booster pump.</w:t>
      </w:r>
    </w:p>
    <w:p>
      <w:pPr>
        <w:pStyle w:val="ListParagraph"/>
        <w:numPr>
          <w:ilvl w:val="0"/>
          <w:numId w:val="3"/>
        </w:numPr>
        <w:spacing w:after="60" w:line="264"/>
      </w:pPr>
      <w:r>
        <w:t xml:space="preserve">ESP32 + display module — the angled head carrying the controller, LCD and start button.</w:t>
      </w:r>
    </w:p>
    <w:p>
      <w:pPr>
        <w:spacing w:after="140" w:line="276"/>
      </w:pPr>
      <w:r>
        <w:rPr>
          <w:i/>
          <w:iCs/>
          <w:color w:val="555555"/>
        </w:rPr>
        <w:t xml:space="preserve">The original CAD source files (and exported STLs) are the project's primary open design files and must accompany the certification (see Section 7).</w:t>
      </w:r>
    </w:p>
    <w:p>
      <w:pPr>
        <w:pStyle w:val="Heading1"/>
      </w:pPr>
      <w:r>
        <w:t xml:space="preserve">5. Bill of Materials</w:t>
      </w:r>
    </w:p>
    <w:p>
      <w:pPr>
        <w:spacing w:after="140" w:line="276"/>
      </w:pPr>
      <w:r>
        <w:t xml:space="preserve">The complete machine-readable BOM ships as bom.csv in the repository. “Third-party” items are off-the-shelf modules with public datasheets; the enclosure is the creator's own open design.</w:t>
      </w:r>
    </w:p>
    <w:p>
      <w:pPr>
        <w:spacing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4126"/>
        <w:gridCol w:w="1600"/>
      </w:tblGrid>
      <w:tr>
        <w:tc>
          <w:tcPr>
            <w:tcW w:type="dxa" w:w="3300"/>
            <w:tcBorders>
              <w:top w:val="single" w:color="BBBBBB" w:sz="1"/>
              <w:left w:val="single" w:color="BBBBBB" w:sz="1"/>
              <w:bottom w:val="single" w:color="BBBBBB" w:sz="1"/>
              <w:right w:val="single" w:color="BBBBBB" w:sz="1"/>
            </w:tcBorders>
            <w:shd w:fill="0B3C5D" w:val="clear"/>
            <w:tcMar>
              <w:top w:type="dxa" w:w="70"/>
              <w:left w:type="dxa" w:w="110"/>
              <w:bottom w:type="dxa" w:w="70"/>
              <w:right w:type="dxa" w:w="110"/>
            </w:tcMar>
            <w:vAlign w:val="center"/>
          </w:tcPr>
          <w:p>
            <w:pPr>
              <w:spacing w:after="0" w:line="252"/>
            </w:pPr>
            <w:r>
              <w:rPr>
                <w:b/>
                <w:bCs/>
                <w:color w:val="FFFFFF"/>
                <w:sz w:val="19"/>
                <w:szCs w:val="19"/>
              </w:rPr>
              <w:t xml:space="preserve">Component</w:t>
            </w:r>
          </w:p>
        </w:tc>
        <w:tc>
          <w:tcPr>
            <w:tcW w:type="dxa" w:w="4126"/>
            <w:tcBorders>
              <w:top w:val="single" w:color="BBBBBB" w:sz="1"/>
              <w:left w:val="single" w:color="BBBBBB" w:sz="1"/>
              <w:bottom w:val="single" w:color="BBBBBB" w:sz="1"/>
              <w:right w:val="single" w:color="BBBBBB" w:sz="1"/>
            </w:tcBorders>
            <w:shd w:fill="0B3C5D" w:val="clear"/>
            <w:tcMar>
              <w:top w:type="dxa" w:w="70"/>
              <w:left w:type="dxa" w:w="110"/>
              <w:bottom w:type="dxa" w:w="70"/>
              <w:right w:type="dxa" w:w="110"/>
            </w:tcMar>
            <w:vAlign w:val="center"/>
          </w:tcPr>
          <w:p>
            <w:pPr>
              <w:spacing w:after="0" w:line="252"/>
            </w:pPr>
            <w:r>
              <w:rPr>
                <w:b/>
                <w:bCs/>
                <w:color w:val="FFFFFF"/>
                <w:sz w:val="19"/>
                <w:szCs w:val="19"/>
              </w:rPr>
              <w:t xml:space="preserve">Notes / Spec</w:t>
            </w:r>
          </w:p>
        </w:tc>
        <w:tc>
          <w:tcPr>
            <w:tcW w:type="dxa" w:w="1600"/>
            <w:tcBorders>
              <w:top w:val="single" w:color="BBBBBB" w:sz="1"/>
              <w:left w:val="single" w:color="BBBBBB" w:sz="1"/>
              <w:bottom w:val="single" w:color="BBBBBB" w:sz="1"/>
              <w:right w:val="single" w:color="BBBBBB" w:sz="1"/>
            </w:tcBorders>
            <w:shd w:fill="0B3C5D" w:val="clear"/>
            <w:tcMar>
              <w:top w:type="dxa" w:w="70"/>
              <w:left w:type="dxa" w:w="110"/>
              <w:bottom w:type="dxa" w:w="70"/>
              <w:right w:type="dxa" w:w="110"/>
            </w:tcMar>
            <w:vAlign w:val="center"/>
          </w:tcPr>
          <w:p>
            <w:pPr>
              <w:spacing w:after="0" w:line="252"/>
            </w:pPr>
            <w:r>
              <w:rPr>
                <w:b/>
                <w:bCs/>
                <w:color w:val="FFFFFF"/>
                <w:sz w:val="19"/>
                <w:szCs w:val="19"/>
              </w:rPr>
              <w:t xml:space="preserve">Origin</w:t>
            </w:r>
          </w:p>
        </w:tc>
      </w:tr>
      <w:tr>
        <w:tc>
          <w:tcPr>
            <w:tcW w:type="dxa" w:w="3300"/>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b/>
                <w:bCs/>
                <w:sz w:val="19"/>
                <w:szCs w:val="19"/>
              </w:rPr>
              <w:t xml:space="preserve">Y-type screen filter</w:t>
            </w:r>
          </w:p>
        </w:tc>
        <w:tc>
          <w:tcPr>
            <w:tcW w:type="dxa" w:w="4126"/>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sz w:val="19"/>
                <w:szCs w:val="19"/>
              </w:rPr>
              <w:t xml:space="preserve">Coarse pre-screen on intake</w:t>
            </w:r>
          </w:p>
        </w:tc>
        <w:tc>
          <w:tcPr>
            <w:tcW w:type="dxa" w:w="1600"/>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color w:val="555555"/>
                <w:sz w:val="19"/>
                <w:szCs w:val="19"/>
              </w:rPr>
              <w:t xml:space="preserve">Third-party</w:t>
            </w:r>
          </w:p>
        </w:tc>
      </w:tr>
      <w:tr>
        <w:tc>
          <w:tcPr>
            <w:tcW w:type="dxa" w:w="3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pPr>
            <w:r>
              <w:rPr>
                <w:b/>
                <w:bCs/>
                <w:sz w:val="19"/>
                <w:szCs w:val="19"/>
              </w:rPr>
              <w:t xml:space="preserve">Pre-filter (spun PP)</w:t>
            </w:r>
          </w:p>
        </w:tc>
        <w:tc>
          <w:tcPr>
            <w:tcW w:type="dxa" w:w="4126"/>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pPr>
            <w:r>
              <w:rPr>
                <w:sz w:val="19"/>
                <w:szCs w:val="19"/>
              </w:rPr>
              <w:t xml:space="preserve">Push-fit transparent housing</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pPr>
            <w:r>
              <w:rPr>
                <w:color w:val="555555"/>
                <w:sz w:val="19"/>
                <w:szCs w:val="19"/>
              </w:rPr>
              <w:t xml:space="preserve">Third-party</w:t>
            </w:r>
          </w:p>
        </w:tc>
      </w:tr>
      <w:tr>
        <w:tc>
          <w:tcPr>
            <w:tcW w:type="dxa" w:w="3300"/>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b/>
                <w:bCs/>
                <w:sz w:val="19"/>
                <w:szCs w:val="19"/>
              </w:rPr>
              <w:t xml:space="preserve">Sediment cartridge</w:t>
            </w:r>
          </w:p>
        </w:tc>
        <w:tc>
          <w:tcPr>
            <w:tcW w:type="dxa" w:w="4126"/>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sz w:val="19"/>
                <w:szCs w:val="19"/>
              </w:rPr>
              <w:t xml:space="preserve">~5 micron sediment stage</w:t>
            </w:r>
          </w:p>
        </w:tc>
        <w:tc>
          <w:tcPr>
            <w:tcW w:type="dxa" w:w="1600"/>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color w:val="555555"/>
                <w:sz w:val="19"/>
                <w:szCs w:val="19"/>
              </w:rPr>
              <w:t xml:space="preserve">Third-party</w:t>
            </w:r>
          </w:p>
        </w:tc>
      </w:tr>
      <w:tr>
        <w:tc>
          <w:tcPr>
            <w:tcW w:type="dxa" w:w="3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pPr>
            <w:r>
              <w:rPr>
                <w:b/>
                <w:bCs/>
                <w:sz w:val="19"/>
                <w:szCs w:val="19"/>
              </w:rPr>
              <w:t xml:space="preserve">Pre-carbon / Post-carbon</w:t>
            </w:r>
          </w:p>
        </w:tc>
        <w:tc>
          <w:tcPr>
            <w:tcW w:type="dxa" w:w="4126"/>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pPr>
            <w:r>
              <w:rPr>
                <w:sz w:val="19"/>
                <w:szCs w:val="19"/>
              </w:rPr>
              <w:t xml:space="preserve">Activated carbon stages</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pPr>
            <w:r>
              <w:rPr>
                <w:color w:val="555555"/>
                <w:sz w:val="19"/>
                <w:szCs w:val="19"/>
              </w:rPr>
              <w:t xml:space="preserve">Third-party</w:t>
            </w:r>
          </w:p>
        </w:tc>
      </w:tr>
      <w:tr>
        <w:tc>
          <w:tcPr>
            <w:tcW w:type="dxa" w:w="3300"/>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b/>
                <w:bCs/>
                <w:sz w:val="19"/>
                <w:szCs w:val="19"/>
              </w:rPr>
              <w:t xml:space="preserve">UF membrane</w:t>
            </w:r>
          </w:p>
        </w:tc>
        <w:tc>
          <w:tcPr>
            <w:tcW w:type="dxa" w:w="4126"/>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sz w:val="19"/>
                <w:szCs w:val="19"/>
              </w:rPr>
              <w:t xml:space="preserve">Ultrafiltration ~0.01 micron</w:t>
            </w:r>
          </w:p>
        </w:tc>
        <w:tc>
          <w:tcPr>
            <w:tcW w:type="dxa" w:w="1600"/>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color w:val="555555"/>
                <w:sz w:val="19"/>
                <w:szCs w:val="19"/>
              </w:rPr>
              <w:t xml:space="preserve">Third-party</w:t>
            </w:r>
          </w:p>
        </w:tc>
      </w:tr>
      <w:tr>
        <w:tc>
          <w:tcPr>
            <w:tcW w:type="dxa" w:w="3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pPr>
            <w:r>
              <w:rPr>
                <w:b/>
                <w:bCs/>
                <w:sz w:val="19"/>
                <w:szCs w:val="19"/>
              </w:rPr>
              <w:t xml:space="preserve">UV lamp kit</w:t>
            </w:r>
          </w:p>
        </w:tc>
        <w:tc>
          <w:tcPr>
            <w:tcW w:type="dxa" w:w="4126"/>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pPr>
            <w:r>
              <w:rPr>
                <w:sz w:val="19"/>
                <w:szCs w:val="19"/>
              </w:rPr>
              <w:t xml:space="preserve">UV-C lamp + ballast (shrouded)</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pPr>
            <w:r>
              <w:rPr>
                <w:color w:val="555555"/>
                <w:sz w:val="19"/>
                <w:szCs w:val="19"/>
              </w:rPr>
              <w:t xml:space="preserve">Third-party</w:t>
            </w:r>
          </w:p>
        </w:tc>
      </w:tr>
      <w:tr>
        <w:tc>
          <w:tcPr>
            <w:tcW w:type="dxa" w:w="3300"/>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b/>
                <w:bCs/>
                <w:sz w:val="19"/>
                <w:szCs w:val="19"/>
              </w:rPr>
              <w:t xml:space="preserve">Submersible pump</w:t>
            </w:r>
          </w:p>
        </w:tc>
        <w:tc>
          <w:tcPr>
            <w:tcW w:type="dxa" w:w="4126"/>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sz w:val="19"/>
                <w:szCs w:val="19"/>
              </w:rPr>
              <w:t xml:space="preserve">Intake pump for raw water</w:t>
            </w:r>
          </w:p>
        </w:tc>
        <w:tc>
          <w:tcPr>
            <w:tcW w:type="dxa" w:w="1600"/>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color w:val="555555"/>
                <w:sz w:val="19"/>
                <w:szCs w:val="19"/>
              </w:rPr>
              <w:t xml:space="preserve">Third-party</w:t>
            </w:r>
          </w:p>
        </w:tc>
      </w:tr>
      <w:tr>
        <w:tc>
          <w:tcPr>
            <w:tcW w:type="dxa" w:w="3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pPr>
            <w:r>
              <w:rPr>
                <w:b/>
                <w:bCs/>
                <w:sz w:val="19"/>
                <w:szCs w:val="19"/>
              </w:rPr>
              <w:t xml:space="preserve">Booster pump</w:t>
            </w:r>
          </w:p>
        </w:tc>
        <w:tc>
          <w:tcPr>
            <w:tcW w:type="dxa" w:w="4126"/>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pPr>
            <w:r>
              <w:rPr>
                <w:sz w:val="19"/>
                <w:szCs w:val="19"/>
              </w:rPr>
              <w:t xml:space="preserve">~100 GPD RO booster pump</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pPr>
            <w:r>
              <w:rPr>
                <w:color w:val="555555"/>
                <w:sz w:val="19"/>
                <w:szCs w:val="19"/>
              </w:rPr>
              <w:t xml:space="preserve">Third-party</w:t>
            </w:r>
          </w:p>
        </w:tc>
      </w:tr>
      <w:tr>
        <w:tc>
          <w:tcPr>
            <w:tcW w:type="dxa" w:w="3300"/>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b/>
                <w:bCs/>
                <w:sz w:val="19"/>
                <w:szCs w:val="19"/>
              </w:rPr>
              <w:t xml:space="preserve">Solenoid valve</w:t>
            </w:r>
          </w:p>
        </w:tc>
        <w:tc>
          <w:tcPr>
            <w:tcW w:type="dxa" w:w="4126"/>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sz w:val="19"/>
                <w:szCs w:val="19"/>
              </w:rPr>
              <w:t xml:space="preserve">24 V normally-closed diverter</w:t>
            </w:r>
          </w:p>
        </w:tc>
        <w:tc>
          <w:tcPr>
            <w:tcW w:type="dxa" w:w="1600"/>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color w:val="555555"/>
                <w:sz w:val="19"/>
                <w:szCs w:val="19"/>
              </w:rPr>
              <w:t xml:space="preserve">Third-party</w:t>
            </w:r>
          </w:p>
        </w:tc>
      </w:tr>
      <w:tr>
        <w:tc>
          <w:tcPr>
            <w:tcW w:type="dxa" w:w="3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pPr>
            <w:r>
              <w:rPr>
                <w:b/>
                <w:bCs/>
                <w:sz w:val="19"/>
                <w:szCs w:val="19"/>
              </w:rPr>
              <w:t xml:space="preserve">Pipe + push-fit connectors</w:t>
            </w:r>
          </w:p>
        </w:tc>
        <w:tc>
          <w:tcPr>
            <w:tcW w:type="dxa" w:w="4126"/>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pPr>
            <w:r>
              <w:rPr>
                <w:sz w:val="19"/>
                <w:szCs w:val="19"/>
              </w:rPr>
              <w:t xml:space="preserve">1/4 in tubing + fittings</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pPr>
            <w:r>
              <w:rPr>
                <w:color w:val="555555"/>
                <w:sz w:val="19"/>
                <w:szCs w:val="19"/>
              </w:rPr>
              <w:t xml:space="preserve">Third-party</w:t>
            </w:r>
          </w:p>
        </w:tc>
      </w:tr>
      <w:tr>
        <w:tc>
          <w:tcPr>
            <w:tcW w:type="dxa" w:w="3300"/>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b/>
                <w:bCs/>
                <w:sz w:val="19"/>
                <w:szCs w:val="19"/>
              </w:rPr>
              <w:t xml:space="preserve">Analog pH probe</w:t>
            </w:r>
          </w:p>
        </w:tc>
        <w:tc>
          <w:tcPr>
            <w:tcW w:type="dxa" w:w="4126"/>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sz w:val="19"/>
                <w:szCs w:val="19"/>
              </w:rPr>
              <w:t xml:space="preserve">Gravity-type analog pH board</w:t>
            </w:r>
          </w:p>
        </w:tc>
        <w:tc>
          <w:tcPr>
            <w:tcW w:type="dxa" w:w="1600"/>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color w:val="555555"/>
                <w:sz w:val="19"/>
                <w:szCs w:val="19"/>
              </w:rPr>
              <w:t xml:space="preserve">Third-party</w:t>
            </w:r>
          </w:p>
        </w:tc>
      </w:tr>
      <w:tr>
        <w:tc>
          <w:tcPr>
            <w:tcW w:type="dxa" w:w="3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pPr>
            <w:r>
              <w:rPr>
                <w:b/>
                <w:bCs/>
                <w:sz w:val="19"/>
                <w:szCs w:val="19"/>
              </w:rPr>
              <w:t xml:space="preserve">Analog TDS probe</w:t>
            </w:r>
          </w:p>
        </w:tc>
        <w:tc>
          <w:tcPr>
            <w:tcW w:type="dxa" w:w="4126"/>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pPr>
            <w:r>
              <w:rPr>
                <w:sz w:val="19"/>
                <w:szCs w:val="19"/>
              </w:rPr>
              <w:t xml:space="preserve">Gravity-type analog TDS board</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pPr>
            <w:r>
              <w:rPr>
                <w:color w:val="555555"/>
                <w:sz w:val="19"/>
                <w:szCs w:val="19"/>
              </w:rPr>
              <w:t xml:space="preserve">Third-party</w:t>
            </w:r>
          </w:p>
        </w:tc>
      </w:tr>
      <w:tr>
        <w:tc>
          <w:tcPr>
            <w:tcW w:type="dxa" w:w="3300"/>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b/>
                <w:bCs/>
                <w:sz w:val="19"/>
                <w:szCs w:val="19"/>
              </w:rPr>
              <w:t xml:space="preserve">Turbidity sensor</w:t>
            </w:r>
          </w:p>
        </w:tc>
        <w:tc>
          <w:tcPr>
            <w:tcW w:type="dxa" w:w="4126"/>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sz w:val="19"/>
                <w:szCs w:val="19"/>
              </w:rPr>
              <w:t xml:space="preserve">SEN0189-class analog sensor</w:t>
            </w:r>
          </w:p>
        </w:tc>
        <w:tc>
          <w:tcPr>
            <w:tcW w:type="dxa" w:w="1600"/>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color w:val="555555"/>
                <w:sz w:val="19"/>
                <w:szCs w:val="19"/>
              </w:rPr>
              <w:t xml:space="preserve">Third-party</w:t>
            </w:r>
          </w:p>
        </w:tc>
      </w:tr>
      <w:tr>
        <w:tc>
          <w:tcPr>
            <w:tcW w:type="dxa" w:w="3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pPr>
            <w:r>
              <w:rPr>
                <w:b/>
                <w:bCs/>
                <w:sz w:val="19"/>
                <w:szCs w:val="19"/>
              </w:rPr>
              <w:t xml:space="preserve">Temperature probe</w:t>
            </w:r>
          </w:p>
        </w:tc>
        <w:tc>
          <w:tcPr>
            <w:tcW w:type="dxa" w:w="4126"/>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pPr>
            <w:r>
              <w:rPr>
                <w:sz w:val="19"/>
                <w:szCs w:val="19"/>
              </w:rPr>
              <w:t xml:space="preserve">DS18B20 waterproof + 4.7k pull-up</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pPr>
            <w:r>
              <w:rPr>
                <w:color w:val="555555"/>
                <w:sz w:val="19"/>
                <w:szCs w:val="19"/>
              </w:rPr>
              <w:t xml:space="preserve">Third-party</w:t>
            </w:r>
          </w:p>
        </w:tc>
      </w:tr>
      <w:tr>
        <w:tc>
          <w:tcPr>
            <w:tcW w:type="dxa" w:w="3300"/>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b/>
                <w:bCs/>
                <w:sz w:val="19"/>
                <w:szCs w:val="19"/>
              </w:rPr>
              <w:t xml:space="preserve">ESP32 DevKit</w:t>
            </w:r>
          </w:p>
        </w:tc>
        <w:tc>
          <w:tcPr>
            <w:tcW w:type="dxa" w:w="4126"/>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sz w:val="19"/>
                <w:szCs w:val="19"/>
              </w:rPr>
              <w:t xml:space="preserve">ESP32-WROOM-32, 38-pin</w:t>
            </w:r>
          </w:p>
        </w:tc>
        <w:tc>
          <w:tcPr>
            <w:tcW w:type="dxa" w:w="1600"/>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color w:val="555555"/>
                <w:sz w:val="19"/>
                <w:szCs w:val="19"/>
              </w:rPr>
              <w:t xml:space="preserve">Third-party</w:t>
            </w:r>
          </w:p>
        </w:tc>
      </w:tr>
      <w:tr>
        <w:tc>
          <w:tcPr>
            <w:tcW w:type="dxa" w:w="3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pPr>
            <w:r>
              <w:rPr>
                <w:b/>
                <w:bCs/>
                <w:sz w:val="19"/>
                <w:szCs w:val="19"/>
              </w:rPr>
              <w:t xml:space="preserve">LCD display</w:t>
            </w:r>
          </w:p>
        </w:tc>
        <w:tc>
          <w:tcPr>
            <w:tcW w:type="dxa" w:w="4126"/>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pPr>
            <w:r>
              <w:rPr>
                <w:sz w:val="19"/>
                <w:szCs w:val="19"/>
              </w:rPr>
              <w:t xml:space="preserve">16x2 character LCD, I2C backpack</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pPr>
            <w:r>
              <w:rPr>
                <w:color w:val="555555"/>
                <w:sz w:val="19"/>
                <w:szCs w:val="19"/>
              </w:rPr>
              <w:t xml:space="preserve">Third-party</w:t>
            </w:r>
          </w:p>
        </w:tc>
      </w:tr>
      <w:tr>
        <w:tc>
          <w:tcPr>
            <w:tcW w:type="dxa" w:w="3300"/>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b/>
                <w:bCs/>
                <w:sz w:val="19"/>
                <w:szCs w:val="19"/>
              </w:rPr>
              <w:t xml:space="preserve">Relay board</w:t>
            </w:r>
          </w:p>
        </w:tc>
        <w:tc>
          <w:tcPr>
            <w:tcW w:type="dxa" w:w="4126"/>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sz w:val="19"/>
                <w:szCs w:val="19"/>
              </w:rPr>
              <w:t xml:space="preserve">4-channel opto-isolated module</w:t>
            </w:r>
          </w:p>
        </w:tc>
        <w:tc>
          <w:tcPr>
            <w:tcW w:type="dxa" w:w="1600"/>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color w:val="555555"/>
                <w:sz w:val="19"/>
                <w:szCs w:val="19"/>
              </w:rPr>
              <w:t xml:space="preserve">Third-party</w:t>
            </w:r>
          </w:p>
        </w:tc>
      </w:tr>
      <w:tr>
        <w:tc>
          <w:tcPr>
            <w:tcW w:type="dxa" w:w="3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pPr>
            <w:r>
              <w:rPr>
                <w:b/>
                <w:bCs/>
                <w:sz w:val="19"/>
                <w:szCs w:val="19"/>
              </w:rPr>
              <w:t xml:space="preserve">24 V adapter + buck converter</w:t>
            </w:r>
          </w:p>
        </w:tc>
        <w:tc>
          <w:tcPr>
            <w:tcW w:type="dxa" w:w="4126"/>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pPr>
            <w:r>
              <w:rPr>
                <w:sz w:val="19"/>
                <w:szCs w:val="19"/>
              </w:rPr>
              <w:t xml:space="preserve">Mains→24 V; 24 V→5 V/3.3 V logic</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pPr>
            <w:r>
              <w:rPr>
                <w:color w:val="555555"/>
                <w:sz w:val="19"/>
                <w:szCs w:val="19"/>
              </w:rPr>
              <w:t xml:space="preserve">Third-party</w:t>
            </w:r>
          </w:p>
        </w:tc>
      </w:tr>
      <w:tr>
        <w:tc>
          <w:tcPr>
            <w:tcW w:type="dxa" w:w="3300"/>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b/>
                <w:bCs/>
                <w:sz w:val="19"/>
                <w:szCs w:val="19"/>
              </w:rPr>
              <w:t xml:space="preserve">Enclosure (modular)</w:t>
            </w:r>
          </w:p>
        </w:tc>
        <w:tc>
          <w:tcPr>
            <w:tcW w:type="dxa" w:w="4126"/>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sz w:val="19"/>
                <w:szCs w:val="19"/>
              </w:rPr>
              <w:t xml:space="preserve">3D-printed; CAD in hardware/cad</w:t>
            </w:r>
          </w:p>
        </w:tc>
        <w:tc>
          <w:tcPr>
            <w:tcW w:type="dxa" w:w="1600"/>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b/>
                <w:bCs/>
                <w:color w:val="1C7293"/>
                <w:sz w:val="19"/>
                <w:szCs w:val="19"/>
              </w:rPr>
              <w:t xml:space="preserve">Creator (open)</w:t>
            </w:r>
          </w:p>
        </w:tc>
      </w:tr>
    </w:tbl>
    <w:p>
      <w:r>
        <w:br w:type="page"/>
      </w:r>
    </w:p>
    <w:p>
      <w:pPr>
        <w:pStyle w:val="Heading1"/>
      </w:pPr>
      <w:r>
        <w:t xml:space="preserve">6. Firmware</w:t>
      </w:r>
    </w:p>
    <w:p>
      <w:pPr>
        <w:spacing w:after="140" w:line="276"/>
      </w:pPr>
      <w:r>
        <w:t xml:space="preserve">The firmware is a single, well-commented Arduino sketch for the ESP32 (jalshuddhi_firmware.ino). It is released under the MIT licence. Engineering choices were made deliberately for reliability on low-cost hardware:</w:t>
      </w:r>
    </w:p>
    <w:p>
      <w:pPr>
        <w:pStyle w:val="ListParagraph"/>
        <w:numPr>
          <w:ilvl w:val="0"/>
          <w:numId w:val="2"/>
        </w:numPr>
        <w:spacing w:after="60" w:line="264"/>
      </w:pPr>
      <w:r>
        <w:rPr>
          <w:b/>
          <w:bCs/>
        </w:rPr>
        <w:t xml:space="preserve">Non-blocking loop </w:t>
      </w:r>
      <w:r>
        <w:t xml:space="preserve">— all timing is millis()-based, so the display, sensors and safety checks keep running while pumps are active (no delay() in the main loop).</w:t>
      </w:r>
    </w:p>
    <w:p>
      <w:pPr>
        <w:pStyle w:val="ListParagraph"/>
        <w:numPr>
          <w:ilvl w:val="0"/>
          <w:numId w:val="2"/>
        </w:numPr>
        <w:spacing w:after="60" w:line="264"/>
      </w:pPr>
      <w:r>
        <w:rPr>
          <w:b/>
          <w:bCs/>
        </w:rPr>
        <w:t xml:space="preserve">Median-filtered sampling </w:t>
      </w:r>
      <w:r>
        <w:t xml:space="preserve">— each analog parameter is read as the median of 21 samples to reject the voltage spikes that plague cheap water probes.</w:t>
      </w:r>
    </w:p>
    <w:p>
      <w:pPr>
        <w:pStyle w:val="ListParagraph"/>
        <w:numPr>
          <w:ilvl w:val="0"/>
          <w:numId w:val="2"/>
        </w:numPr>
        <w:spacing w:after="60" w:line="264"/>
      </w:pPr>
      <w:r>
        <w:rPr>
          <w:b/>
          <w:bCs/>
        </w:rPr>
        <w:t xml:space="preserve">Temperature compensation </w:t>
      </w:r>
      <w:r>
        <w:t xml:space="preserve">— pH and TDS are corrected against the live temperature reading.</w:t>
      </w:r>
    </w:p>
    <w:p>
      <w:pPr>
        <w:pStyle w:val="ListParagraph"/>
        <w:numPr>
          <w:ilvl w:val="0"/>
          <w:numId w:val="2"/>
        </w:numPr>
        <w:spacing w:after="60" w:line="264"/>
      </w:pPr>
      <w:r>
        <w:rPr>
          <w:b/>
          <w:bCs/>
        </w:rPr>
        <w:t xml:space="preserve">Safety-first defaults </w:t>
      </w:r>
      <w:r>
        <w:t xml:space="preserve">— on boot and on stop, every actuator is switched off; water only reaches the clean outlet when readings are in range.</w:t>
      </w:r>
    </w:p>
    <w:p>
      <w:pPr>
        <w:pStyle w:val="ListParagraph"/>
        <w:numPr>
          <w:ilvl w:val="0"/>
          <w:numId w:val="2"/>
        </w:numPr>
        <w:spacing w:after="60" w:line="264"/>
      </w:pPr>
      <w:r>
        <w:rPr>
          <w:b/>
          <w:bCs/>
        </w:rPr>
        <w:t xml:space="preserve">Single CONFIG block </w:t>
      </w:r>
      <w:r>
        <w:t xml:space="preserve">— all pins, calibration constants and safe-water limits live at the top of the file, the only values a builder normally edits.</w:t>
      </w:r>
    </w:p>
    <w:p>
      <w:pPr>
        <w:pStyle w:val="Heading3"/>
      </w:pPr>
      <w:r>
        <w:t xml:space="preserve">Pin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100"/>
        <w:gridCol w:w="1500"/>
        <w:gridCol w:w="3426"/>
      </w:tblGrid>
      <w:tr>
        <w:tc>
          <w:tcPr>
            <w:tcW w:type="dxa" w:w="4100"/>
            <w:tcBorders>
              <w:top w:val="single" w:color="BBBBBB" w:sz="1"/>
              <w:left w:val="single" w:color="BBBBBB" w:sz="1"/>
              <w:bottom w:val="single" w:color="BBBBBB" w:sz="1"/>
              <w:right w:val="single" w:color="BBBBBB" w:sz="1"/>
            </w:tcBorders>
            <w:shd w:fill="0B3C5D" w:val="clear"/>
            <w:tcMar>
              <w:top w:type="dxa" w:w="70"/>
              <w:left w:type="dxa" w:w="110"/>
              <w:bottom w:type="dxa" w:w="70"/>
              <w:right w:type="dxa" w:w="110"/>
            </w:tcMar>
            <w:vAlign w:val="center"/>
          </w:tcPr>
          <w:p>
            <w:pPr>
              <w:spacing w:after="0" w:line="252"/>
            </w:pPr>
            <w:r>
              <w:rPr>
                <w:b/>
                <w:bCs/>
                <w:color w:val="FFFFFF"/>
                <w:sz w:val="19"/>
                <w:szCs w:val="19"/>
              </w:rPr>
              <w:t xml:space="preserve">Signal</w:t>
            </w:r>
          </w:p>
        </w:tc>
        <w:tc>
          <w:tcPr>
            <w:tcW w:type="dxa" w:w="1500"/>
            <w:tcBorders>
              <w:top w:val="single" w:color="BBBBBB" w:sz="1"/>
              <w:left w:val="single" w:color="BBBBBB" w:sz="1"/>
              <w:bottom w:val="single" w:color="BBBBBB" w:sz="1"/>
              <w:right w:val="single" w:color="BBBBBB" w:sz="1"/>
            </w:tcBorders>
            <w:shd w:fill="0B3C5D" w:val="clear"/>
            <w:tcMar>
              <w:top w:type="dxa" w:w="70"/>
              <w:left w:type="dxa" w:w="110"/>
              <w:bottom w:type="dxa" w:w="70"/>
              <w:right w:type="dxa" w:w="110"/>
            </w:tcMar>
            <w:vAlign w:val="center"/>
          </w:tcPr>
          <w:p>
            <w:pPr>
              <w:spacing w:after="0" w:line="252"/>
            </w:pPr>
            <w:r>
              <w:rPr>
                <w:b/>
                <w:bCs/>
                <w:color w:val="FFFFFF"/>
                <w:sz w:val="19"/>
                <w:szCs w:val="19"/>
              </w:rPr>
              <w:t xml:space="preserve">GPIO</w:t>
            </w:r>
          </w:p>
        </w:tc>
        <w:tc>
          <w:tcPr>
            <w:tcW w:type="dxa" w:w="3426"/>
            <w:tcBorders>
              <w:top w:val="single" w:color="BBBBBB" w:sz="1"/>
              <w:left w:val="single" w:color="BBBBBB" w:sz="1"/>
              <w:bottom w:val="single" w:color="BBBBBB" w:sz="1"/>
              <w:right w:val="single" w:color="BBBBBB" w:sz="1"/>
            </w:tcBorders>
            <w:shd w:fill="0B3C5D" w:val="clear"/>
            <w:tcMar>
              <w:top w:type="dxa" w:w="70"/>
              <w:left w:type="dxa" w:w="110"/>
              <w:bottom w:type="dxa" w:w="70"/>
              <w:right w:type="dxa" w:w="110"/>
            </w:tcMar>
            <w:vAlign w:val="center"/>
          </w:tcPr>
          <w:p>
            <w:pPr>
              <w:spacing w:after="0" w:line="252"/>
            </w:pPr>
            <w:r>
              <w:rPr>
                <w:b/>
                <w:bCs/>
                <w:color w:val="FFFFFF"/>
                <w:sz w:val="19"/>
                <w:szCs w:val="19"/>
              </w:rPr>
              <w:t xml:space="preserve">Notes</w:t>
            </w:r>
          </w:p>
        </w:tc>
      </w:tr>
      <w:tr>
        <w:tc>
          <w:tcPr>
            <w:tcW w:type="dxa" w:w="4100"/>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sz w:val="19"/>
                <w:szCs w:val="19"/>
              </w:rPr>
              <w:t xml:space="preserve">pH analog out</w:t>
            </w:r>
          </w:p>
        </w:tc>
        <w:tc>
          <w:tcPr>
            <w:tcW w:type="dxa" w:w="1500"/>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jc w:val="center"/>
            </w:pPr>
            <w:r>
              <w:rPr>
                <w:b/>
                <w:bCs/>
                <w:color w:val="0B3C5D"/>
                <w:sz w:val="19"/>
                <w:szCs w:val="19"/>
              </w:rPr>
              <w:t xml:space="preserve">35</w:t>
            </w:r>
          </w:p>
        </w:tc>
        <w:tc>
          <w:tcPr>
            <w:tcW w:type="dxa" w:w="3426"/>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color w:val="555555"/>
                <w:sz w:val="19"/>
                <w:szCs w:val="19"/>
              </w:rPr>
              <w:t xml:space="preserve">ADC1, input-only</w:t>
            </w:r>
          </w:p>
        </w:tc>
      </w:tr>
      <w:tr>
        <w:tc>
          <w:tcPr>
            <w:tcW w:type="dxa" w:w="41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pPr>
            <w:r>
              <w:rPr>
                <w:sz w:val="19"/>
                <w:szCs w:val="19"/>
              </w:rPr>
              <w:t xml:space="preserve">TDS analog out</w:t>
            </w:r>
          </w:p>
        </w:tc>
        <w:tc>
          <w:tcPr>
            <w:tcW w:type="dxa" w:w="15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jc w:val="center"/>
            </w:pPr>
            <w:r>
              <w:rPr>
                <w:b/>
                <w:bCs/>
                <w:color w:val="0B3C5D"/>
                <w:sz w:val="19"/>
                <w:szCs w:val="19"/>
              </w:rPr>
              <w:t xml:space="preserve">34</w:t>
            </w:r>
          </w:p>
        </w:tc>
        <w:tc>
          <w:tcPr>
            <w:tcW w:type="dxa" w:w="3426"/>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pPr>
            <w:r>
              <w:rPr>
                <w:color w:val="555555"/>
                <w:sz w:val="19"/>
                <w:szCs w:val="19"/>
              </w:rPr>
              <w:t xml:space="preserve">ADC1, input-only</w:t>
            </w:r>
          </w:p>
        </w:tc>
      </w:tr>
      <w:tr>
        <w:tc>
          <w:tcPr>
            <w:tcW w:type="dxa" w:w="4100"/>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sz w:val="19"/>
                <w:szCs w:val="19"/>
              </w:rPr>
              <w:t xml:space="preserve">Turbidity analog out</w:t>
            </w:r>
          </w:p>
        </w:tc>
        <w:tc>
          <w:tcPr>
            <w:tcW w:type="dxa" w:w="1500"/>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jc w:val="center"/>
            </w:pPr>
            <w:r>
              <w:rPr>
                <w:b/>
                <w:bCs/>
                <w:color w:val="0B3C5D"/>
                <w:sz w:val="19"/>
                <w:szCs w:val="19"/>
              </w:rPr>
              <w:t xml:space="preserve">32</w:t>
            </w:r>
          </w:p>
        </w:tc>
        <w:tc>
          <w:tcPr>
            <w:tcW w:type="dxa" w:w="3426"/>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color w:val="555555"/>
                <w:sz w:val="19"/>
                <w:szCs w:val="19"/>
              </w:rPr>
              <w:t xml:space="preserve">ADC1; scale 5V→3.3V if needed</w:t>
            </w:r>
          </w:p>
        </w:tc>
      </w:tr>
      <w:tr>
        <w:tc>
          <w:tcPr>
            <w:tcW w:type="dxa" w:w="41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pPr>
            <w:r>
              <w:rPr>
                <w:sz w:val="19"/>
                <w:szCs w:val="19"/>
              </w:rPr>
              <w:t xml:space="preserve">DS18B20 data</w:t>
            </w:r>
          </w:p>
        </w:tc>
        <w:tc>
          <w:tcPr>
            <w:tcW w:type="dxa" w:w="15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jc w:val="center"/>
            </w:pPr>
            <w:r>
              <w:rPr>
                <w:b/>
                <w:bCs/>
                <w:color w:val="0B3C5D"/>
                <w:sz w:val="19"/>
                <w:szCs w:val="19"/>
              </w:rPr>
              <w:t xml:space="preserve">33</w:t>
            </w:r>
          </w:p>
        </w:tc>
        <w:tc>
          <w:tcPr>
            <w:tcW w:type="dxa" w:w="3426"/>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pPr>
            <w:r>
              <w:rPr>
                <w:color w:val="555555"/>
                <w:sz w:val="19"/>
                <w:szCs w:val="19"/>
              </w:rPr>
              <w:t xml:space="preserve">4.7k pull-up to 3V3</w:t>
            </w:r>
          </w:p>
        </w:tc>
      </w:tr>
      <w:tr>
        <w:tc>
          <w:tcPr>
            <w:tcW w:type="dxa" w:w="4100"/>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sz w:val="19"/>
                <w:szCs w:val="19"/>
              </w:rPr>
              <w:t xml:space="preserve">I2C SDA / SCL (LCD)</w:t>
            </w:r>
          </w:p>
        </w:tc>
        <w:tc>
          <w:tcPr>
            <w:tcW w:type="dxa" w:w="1500"/>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jc w:val="center"/>
            </w:pPr>
            <w:r>
              <w:rPr>
                <w:b/>
                <w:bCs/>
                <w:color w:val="0B3C5D"/>
                <w:sz w:val="19"/>
                <w:szCs w:val="19"/>
              </w:rPr>
              <w:t xml:space="preserve">21 / 22</w:t>
            </w:r>
          </w:p>
        </w:tc>
        <w:tc>
          <w:tcPr>
            <w:tcW w:type="dxa" w:w="3426"/>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color w:val="555555"/>
                <w:sz w:val="19"/>
                <w:szCs w:val="19"/>
              </w:rPr>
              <w:t xml:space="preserve">16x2 I2C display</w:t>
            </w:r>
          </w:p>
        </w:tc>
      </w:tr>
      <w:tr>
        <w:tc>
          <w:tcPr>
            <w:tcW w:type="dxa" w:w="41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pPr>
            <w:r>
              <w:rPr>
                <w:sz w:val="19"/>
                <w:szCs w:val="19"/>
              </w:rPr>
              <w:t xml:space="preserve">Start/Stop button</w:t>
            </w:r>
          </w:p>
        </w:tc>
        <w:tc>
          <w:tcPr>
            <w:tcW w:type="dxa" w:w="15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jc w:val="center"/>
            </w:pPr>
            <w:r>
              <w:rPr>
                <w:b/>
                <w:bCs/>
                <w:color w:val="0B3C5D"/>
                <w:sz w:val="19"/>
                <w:szCs w:val="19"/>
              </w:rPr>
              <w:t xml:space="preserve">18</w:t>
            </w:r>
          </w:p>
        </w:tc>
        <w:tc>
          <w:tcPr>
            <w:tcW w:type="dxa" w:w="3426"/>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pPr>
            <w:r>
              <w:rPr>
                <w:color w:val="555555"/>
                <w:sz w:val="19"/>
                <w:szCs w:val="19"/>
              </w:rPr>
              <w:t xml:space="preserve">to GND, internal pull-up</w:t>
            </w:r>
          </w:p>
        </w:tc>
      </w:tr>
      <w:tr>
        <w:tc>
          <w:tcPr>
            <w:tcW w:type="dxa" w:w="4100"/>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sz w:val="19"/>
                <w:szCs w:val="19"/>
              </w:rPr>
              <w:t xml:space="preserve">Submersible pump relay</w:t>
            </w:r>
          </w:p>
        </w:tc>
        <w:tc>
          <w:tcPr>
            <w:tcW w:type="dxa" w:w="1500"/>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jc w:val="center"/>
            </w:pPr>
            <w:r>
              <w:rPr>
                <w:b/>
                <w:bCs/>
                <w:color w:val="0B3C5D"/>
                <w:sz w:val="19"/>
                <w:szCs w:val="19"/>
              </w:rPr>
              <w:t xml:space="preserve">25</w:t>
            </w:r>
          </w:p>
        </w:tc>
        <w:tc>
          <w:tcPr>
            <w:tcW w:type="dxa" w:w="3426"/>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color w:val="555555"/>
                <w:sz w:val="19"/>
                <w:szCs w:val="19"/>
              </w:rPr>
              <w:t xml:space="preserve">active-LOW relay IN1</w:t>
            </w:r>
          </w:p>
        </w:tc>
      </w:tr>
      <w:tr>
        <w:tc>
          <w:tcPr>
            <w:tcW w:type="dxa" w:w="41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pPr>
            <w:r>
              <w:rPr>
                <w:sz w:val="19"/>
                <w:szCs w:val="19"/>
              </w:rPr>
              <w:t xml:space="preserve">Booster pump relay</w:t>
            </w:r>
          </w:p>
        </w:tc>
        <w:tc>
          <w:tcPr>
            <w:tcW w:type="dxa" w:w="15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jc w:val="center"/>
            </w:pPr>
            <w:r>
              <w:rPr>
                <w:b/>
                <w:bCs/>
                <w:color w:val="0B3C5D"/>
                <w:sz w:val="19"/>
                <w:szCs w:val="19"/>
              </w:rPr>
              <w:t xml:space="preserve">26</w:t>
            </w:r>
          </w:p>
        </w:tc>
        <w:tc>
          <w:tcPr>
            <w:tcW w:type="dxa" w:w="3426"/>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pPr>
            <w:r>
              <w:rPr>
                <w:color w:val="555555"/>
                <w:sz w:val="19"/>
                <w:szCs w:val="19"/>
              </w:rPr>
              <w:t xml:space="preserve">relay IN2</w:t>
            </w:r>
          </w:p>
        </w:tc>
      </w:tr>
      <w:tr>
        <w:tc>
          <w:tcPr>
            <w:tcW w:type="dxa" w:w="4100"/>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sz w:val="19"/>
                <w:szCs w:val="19"/>
              </w:rPr>
              <w:t xml:space="preserve">Solenoid valve relay</w:t>
            </w:r>
          </w:p>
        </w:tc>
        <w:tc>
          <w:tcPr>
            <w:tcW w:type="dxa" w:w="1500"/>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jc w:val="center"/>
            </w:pPr>
            <w:r>
              <w:rPr>
                <w:b/>
                <w:bCs/>
                <w:color w:val="0B3C5D"/>
                <w:sz w:val="19"/>
                <w:szCs w:val="19"/>
              </w:rPr>
              <w:t xml:space="preserve">27</w:t>
            </w:r>
          </w:p>
        </w:tc>
        <w:tc>
          <w:tcPr>
            <w:tcW w:type="dxa" w:w="3426"/>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color w:val="555555"/>
                <w:sz w:val="19"/>
                <w:szCs w:val="19"/>
              </w:rPr>
              <w:t xml:space="preserve">relay IN3</w:t>
            </w:r>
          </w:p>
        </w:tc>
      </w:tr>
      <w:tr>
        <w:tc>
          <w:tcPr>
            <w:tcW w:type="dxa" w:w="41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pPr>
            <w:r>
              <w:rPr>
                <w:sz w:val="19"/>
                <w:szCs w:val="19"/>
              </w:rPr>
              <w:t xml:space="preserve">UV lamp relay</w:t>
            </w:r>
          </w:p>
        </w:tc>
        <w:tc>
          <w:tcPr>
            <w:tcW w:type="dxa" w:w="15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jc w:val="center"/>
            </w:pPr>
            <w:r>
              <w:rPr>
                <w:b/>
                <w:bCs/>
                <w:color w:val="0B3C5D"/>
                <w:sz w:val="19"/>
                <w:szCs w:val="19"/>
              </w:rPr>
              <w:t xml:space="preserve">14</w:t>
            </w:r>
          </w:p>
        </w:tc>
        <w:tc>
          <w:tcPr>
            <w:tcW w:type="dxa" w:w="3426"/>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pPr>
            <w:r>
              <w:rPr>
                <w:color w:val="555555"/>
                <w:sz w:val="19"/>
                <w:szCs w:val="19"/>
              </w:rPr>
              <w:t xml:space="preserve">relay IN4</w:t>
            </w:r>
          </w:p>
        </w:tc>
      </w:tr>
      <w:tr>
        <w:tc>
          <w:tcPr>
            <w:tcW w:type="dxa" w:w="4100"/>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sz w:val="19"/>
                <w:szCs w:val="19"/>
              </w:rPr>
              <w:t xml:space="preserve">Status LED</w:t>
            </w:r>
          </w:p>
        </w:tc>
        <w:tc>
          <w:tcPr>
            <w:tcW w:type="dxa" w:w="1500"/>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jc w:val="center"/>
            </w:pPr>
            <w:r>
              <w:rPr>
                <w:b/>
                <w:bCs/>
                <w:color w:val="0B3C5D"/>
                <w:sz w:val="19"/>
                <w:szCs w:val="19"/>
              </w:rPr>
              <w:t xml:space="preserve">2</w:t>
            </w:r>
          </w:p>
        </w:tc>
        <w:tc>
          <w:tcPr>
            <w:tcW w:type="dxa" w:w="3426"/>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color w:val="555555"/>
                <w:sz w:val="19"/>
                <w:szCs w:val="19"/>
              </w:rPr>
              <w:t xml:space="preserve">on-board; lit = safe to drink</w:t>
            </w:r>
          </w:p>
        </w:tc>
      </w:tr>
    </w:tbl>
    <w:p>
      <w:pPr>
        <w:spacing w:after="60"/>
      </w:pPr>
      <w:r>
        <w:t xml:space="preserve"/>
      </w:r>
    </w:p>
    <w:p>
      <w:pPr>
        <w:spacing w:after="140" w:line="276"/>
      </w:pPr>
      <w:r>
        <w:rPr>
          <w:i/>
          <w:iCs/>
          <w:color w:val="555555"/>
        </w:rPr>
        <w:t xml:space="preserve">Build chain: Arduino IDE + the Espressif ESP32 board package; libraries OneWire, DallasTemperature and LiquidCrystal_I2C (all open source, installed from the Library Manager). Calibrate the pH and TDS probes once before field use, as described in the file header.</w:t>
      </w:r>
    </w:p>
    <w:p>
      <w:pPr>
        <w:pStyle w:val="Heading1"/>
      </w:pPr>
      <w:r>
        <w:t xml:space="preserve">7. Documentation Package (OSHWA Checklist)</w:t>
      </w:r>
    </w:p>
    <w:p>
      <w:pPr>
        <w:spacing w:after="140" w:line="276"/>
      </w:pPr>
      <w:r>
        <w:t xml:space="preserve">OSHWA's documentation requirements come from the Open Source Hardware Definition: certified hardware must publish design files and allow their modification and distribution. The checklist below maps OSHWA's items to what this project provides.</w:t>
      </w:r>
    </w:p>
    <w:p>
      <w:pPr>
        <w:spacing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1400"/>
        <w:gridCol w:w="2426"/>
      </w:tblGrid>
      <w:tr>
        <w:tc>
          <w:tcPr>
            <w:tcW w:type="dxa" w:w="5200"/>
            <w:tcBorders>
              <w:top w:val="single" w:color="BBBBBB" w:sz="1"/>
              <w:left w:val="single" w:color="BBBBBB" w:sz="1"/>
              <w:bottom w:val="single" w:color="BBBBBB" w:sz="1"/>
              <w:right w:val="single" w:color="BBBBBB" w:sz="1"/>
            </w:tcBorders>
            <w:shd w:fill="0B3C5D" w:val="clear"/>
            <w:tcMar>
              <w:top w:type="dxa" w:w="70"/>
              <w:left w:type="dxa" w:w="110"/>
              <w:bottom w:type="dxa" w:w="70"/>
              <w:right w:type="dxa" w:w="110"/>
            </w:tcMar>
            <w:vAlign w:val="center"/>
          </w:tcPr>
          <w:p>
            <w:pPr>
              <w:spacing w:after="0" w:line="252"/>
            </w:pPr>
            <w:r>
              <w:rPr>
                <w:b/>
                <w:bCs/>
                <w:color w:val="FFFFFF"/>
                <w:sz w:val="19"/>
                <w:szCs w:val="19"/>
              </w:rPr>
              <w:t xml:space="preserve">OSHWA item</w:t>
            </w:r>
          </w:p>
        </w:tc>
        <w:tc>
          <w:tcPr>
            <w:tcW w:type="dxa" w:w="1400"/>
            <w:tcBorders>
              <w:top w:val="single" w:color="BBBBBB" w:sz="1"/>
              <w:left w:val="single" w:color="BBBBBB" w:sz="1"/>
              <w:bottom w:val="single" w:color="BBBBBB" w:sz="1"/>
              <w:right w:val="single" w:color="BBBBBB" w:sz="1"/>
            </w:tcBorders>
            <w:shd w:fill="0B3C5D" w:val="clear"/>
            <w:tcMar>
              <w:top w:type="dxa" w:w="70"/>
              <w:left w:type="dxa" w:w="110"/>
              <w:bottom w:type="dxa" w:w="70"/>
              <w:right w:type="dxa" w:w="110"/>
            </w:tcMar>
            <w:vAlign w:val="center"/>
          </w:tcPr>
          <w:p>
            <w:pPr>
              <w:spacing w:after="0" w:line="252"/>
            </w:pPr>
            <w:r>
              <w:rPr>
                <w:b/>
                <w:bCs/>
                <w:color w:val="FFFFFF"/>
                <w:sz w:val="19"/>
                <w:szCs w:val="19"/>
              </w:rPr>
              <w:t xml:space="preserve">Required?</w:t>
            </w:r>
          </w:p>
        </w:tc>
        <w:tc>
          <w:tcPr>
            <w:tcW w:type="dxa" w:w="2426"/>
            <w:tcBorders>
              <w:top w:val="single" w:color="BBBBBB" w:sz="1"/>
              <w:left w:val="single" w:color="BBBBBB" w:sz="1"/>
              <w:bottom w:val="single" w:color="BBBBBB" w:sz="1"/>
              <w:right w:val="single" w:color="BBBBBB" w:sz="1"/>
            </w:tcBorders>
            <w:shd w:fill="0B3C5D" w:val="clear"/>
            <w:tcMar>
              <w:top w:type="dxa" w:w="70"/>
              <w:left w:type="dxa" w:w="110"/>
              <w:bottom w:type="dxa" w:w="70"/>
              <w:right w:type="dxa" w:w="110"/>
            </w:tcMar>
            <w:vAlign w:val="center"/>
          </w:tcPr>
          <w:p>
            <w:pPr>
              <w:spacing w:after="0" w:line="252"/>
            </w:pPr>
            <w:r>
              <w:rPr>
                <w:b/>
                <w:bCs/>
                <w:color w:val="FFFFFF"/>
                <w:sz w:val="19"/>
                <w:szCs w:val="19"/>
              </w:rPr>
              <w:t xml:space="preserve">Status</w:t>
            </w:r>
          </w:p>
        </w:tc>
      </w:tr>
      <w:tr>
        <w:tc>
          <w:tcPr>
            <w:tcW w:type="dxa" w:w="5200"/>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sz w:val="19"/>
                <w:szCs w:val="19"/>
              </w:rPr>
              <w:t xml:space="preserve">Original design files publicly available</w:t>
            </w:r>
          </w:p>
        </w:tc>
        <w:tc>
          <w:tcPr>
            <w:tcW w:type="dxa" w:w="1400"/>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jc w:val="center"/>
            </w:pPr>
            <w:r>
              <w:rPr>
                <w:b/>
                <w:bCs/>
                <w:color w:val="0B3C5D"/>
                <w:sz w:val="19"/>
                <w:szCs w:val="19"/>
              </w:rPr>
              <w:t xml:space="preserve">Yes</w:t>
            </w:r>
          </w:p>
        </w:tc>
        <w:tc>
          <w:tcPr>
            <w:tcW w:type="dxa" w:w="2426"/>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b/>
                <w:bCs/>
                <w:color w:val="B5651D"/>
                <w:sz w:val="19"/>
                <w:szCs w:val="19"/>
              </w:rPr>
              <w:t xml:space="preserve">Add CAD/STL to hardware/cad</w:t>
            </w:r>
          </w:p>
        </w:tc>
      </w:tr>
      <w:tr>
        <w:tc>
          <w:tcPr>
            <w:tcW w:type="dxa" w:w="5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pPr>
            <w:r>
              <w:rPr>
                <w:sz w:val="19"/>
                <w:szCs w:val="19"/>
              </w:rPr>
              <w:t xml:space="preserve">Auxiliary design files</w:t>
            </w:r>
          </w:p>
        </w:tc>
        <w:tc>
          <w:tcPr>
            <w:tcW w:type="dxa" w:w="1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jc w:val="center"/>
            </w:pPr>
            <w:r>
              <w:rPr>
                <w:color w:val="555555"/>
                <w:sz w:val="19"/>
                <w:szCs w:val="19"/>
              </w:rPr>
              <w:t xml:space="preserve">Optional</w:t>
            </w:r>
          </w:p>
        </w:tc>
        <w:tc>
          <w:tcPr>
            <w:tcW w:type="dxa" w:w="2426"/>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pPr>
            <w:r>
              <w:rPr>
                <w:b/>
                <w:bCs/>
                <w:color w:val="B5651D"/>
                <w:sz w:val="19"/>
                <w:szCs w:val="19"/>
              </w:rPr>
              <w:t xml:space="preserve">Wiring diagram in wiring.md</w:t>
            </w:r>
          </w:p>
        </w:tc>
      </w:tr>
      <w:tr>
        <w:tc>
          <w:tcPr>
            <w:tcW w:type="dxa" w:w="5200"/>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sz w:val="19"/>
                <w:szCs w:val="19"/>
              </w:rPr>
              <w:t xml:space="preserve">Bill of materials publicly available</w:t>
            </w:r>
          </w:p>
        </w:tc>
        <w:tc>
          <w:tcPr>
            <w:tcW w:type="dxa" w:w="1400"/>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jc w:val="center"/>
            </w:pPr>
            <w:r>
              <w:rPr>
                <w:b/>
                <w:bCs/>
                <w:color w:val="0B3C5D"/>
                <w:sz w:val="19"/>
                <w:szCs w:val="19"/>
              </w:rPr>
              <w:t xml:space="preserve">Yes</w:t>
            </w:r>
          </w:p>
        </w:tc>
        <w:tc>
          <w:tcPr>
            <w:tcW w:type="dxa" w:w="2426"/>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b/>
                <w:bCs/>
                <w:color w:val="1C7293"/>
                <w:sz w:val="19"/>
                <w:szCs w:val="19"/>
              </w:rPr>
              <w:t xml:space="preserve">Provided — bom.csv</w:t>
            </w:r>
          </w:p>
        </w:tc>
      </w:tr>
      <w:tr>
        <w:tc>
          <w:tcPr>
            <w:tcW w:type="dxa" w:w="5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pPr>
            <w:r>
              <w:rPr>
                <w:sz w:val="19"/>
                <w:szCs w:val="19"/>
              </w:rPr>
              <w:t xml:space="preserve">Photos at stages of assembly</w:t>
            </w:r>
          </w:p>
        </w:tc>
        <w:tc>
          <w:tcPr>
            <w:tcW w:type="dxa" w:w="1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jc w:val="center"/>
            </w:pPr>
            <w:r>
              <w:rPr>
                <w:color w:val="555555"/>
                <w:sz w:val="19"/>
                <w:szCs w:val="19"/>
              </w:rPr>
              <w:t xml:space="preserve">Optional</w:t>
            </w:r>
          </w:p>
        </w:tc>
        <w:tc>
          <w:tcPr>
            <w:tcW w:type="dxa" w:w="2426"/>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pPr>
            <w:r>
              <w:rPr>
                <w:b/>
                <w:bCs/>
                <w:color w:val="B5651D"/>
                <w:sz w:val="19"/>
                <w:szCs w:val="19"/>
              </w:rPr>
              <w:t xml:space="preserve">Add to docs/ before launch</w:t>
            </w:r>
          </w:p>
        </w:tc>
      </w:tr>
      <w:tr>
        <w:tc>
          <w:tcPr>
            <w:tcW w:type="dxa" w:w="5200"/>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sz w:val="19"/>
                <w:szCs w:val="19"/>
              </w:rPr>
              <w:t xml:space="preserve">Instructions / explanations</w:t>
            </w:r>
          </w:p>
        </w:tc>
        <w:tc>
          <w:tcPr>
            <w:tcW w:type="dxa" w:w="1400"/>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jc w:val="center"/>
            </w:pPr>
            <w:r>
              <w:rPr>
                <w:color w:val="555555"/>
                <w:sz w:val="19"/>
                <w:szCs w:val="19"/>
              </w:rPr>
              <w:t xml:space="preserve">Optional</w:t>
            </w:r>
          </w:p>
        </w:tc>
        <w:tc>
          <w:tcPr>
            <w:tcW w:type="dxa" w:w="2426"/>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b/>
                <w:bCs/>
                <w:color w:val="1C7293"/>
                <w:sz w:val="19"/>
                <w:szCs w:val="19"/>
              </w:rPr>
              <w:t xml:space="preserve">Provided — README + this doc</w:t>
            </w:r>
          </w:p>
        </w:tc>
      </w:tr>
      <w:tr>
        <w:tc>
          <w:tcPr>
            <w:tcW w:type="dxa" w:w="5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pPr>
            <w:r>
              <w:rPr>
                <w:sz w:val="19"/>
                <w:szCs w:val="19"/>
              </w:rPr>
              <w:t xml:space="preserve">Design files properly open-licensed</w:t>
            </w:r>
          </w:p>
        </w:tc>
        <w:tc>
          <w:tcPr>
            <w:tcW w:type="dxa" w:w="1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jc w:val="center"/>
            </w:pPr>
            <w:r>
              <w:rPr>
                <w:b/>
                <w:bCs/>
                <w:color w:val="0B3C5D"/>
                <w:sz w:val="19"/>
                <w:szCs w:val="19"/>
              </w:rPr>
              <w:t xml:space="preserve">Yes</w:t>
            </w:r>
          </w:p>
        </w:tc>
        <w:tc>
          <w:tcPr>
            <w:tcW w:type="dxa" w:w="2426"/>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pPr>
            <w:r>
              <w:rPr>
                <w:b/>
                <w:bCs/>
                <w:color w:val="B5651D"/>
                <w:sz w:val="19"/>
                <w:szCs w:val="19"/>
              </w:rPr>
              <w:t xml:space="preserve">CERN-OHL-S / CC BY-SA / MIT</w:t>
            </w:r>
          </w:p>
        </w:tc>
      </w:tr>
    </w:tbl>
    <w:p>
      <w:pPr>
        <w:pStyle w:val="Heading3"/>
      </w:pPr>
      <w:r>
        <w:t xml:space="preserve">Repository layout (the public URL you submit)</w:t>
      </w:r>
    </w:p>
    <w:p>
      <w:pPr>
        <w:pBdr>
          <w:left w:val="single" w:color="2E8BC0" w:sz="14" w:space="10"/>
        </w:pBdr>
        <w:shd w:fill="F4F4F4" w:val="clear"/>
        <w:spacing w:after="120" w:before="60"/>
      </w:pPr>
      <w:r>
        <w:rPr>
          <w:rFonts w:ascii="Courier New" w:cs="Courier New" w:eastAsia="Courier New" w:hAnsi="Courier New"/>
          <w:sz w:val="18"/>
          <w:szCs w:val="18"/>
        </w:rPr>
        <w:t xml:space="preserve">jalshuddhi/</w:t>
      </w:r>
      <w:r>
        <w:rPr>
          <w:rFonts w:ascii="Courier New" w:cs="Courier New" w:eastAsia="Courier New" w:hAnsi="Courier New"/>
          <w:sz w:val="18"/>
          <w:szCs w:val="18"/>
        </w:rPr>
        <w:br/>
        <w:t xml:space="preserve">  README.md             documentation hub</w:t>
      </w:r>
      <w:r>
        <w:rPr>
          <w:rFonts w:ascii="Courier New" w:cs="Courier New" w:eastAsia="Courier New" w:hAnsi="Courier New"/>
          <w:sz w:val="18"/>
          <w:szCs w:val="18"/>
        </w:rPr>
        <w:br/>
        <w:t xml:space="preserve">  LICENSE               MIT (software)</w:t>
      </w:r>
      <w:r>
        <w:rPr>
          <w:rFonts w:ascii="Courier New" w:cs="Courier New" w:eastAsia="Courier New" w:hAnsi="Courier New"/>
          <w:sz w:val="18"/>
          <w:szCs w:val="18"/>
        </w:rPr>
        <w:br/>
        <w:t xml:space="preserve">  firmware/jalshuddhi_firmware.ino</w:t>
      </w:r>
      <w:r>
        <w:rPr>
          <w:rFonts w:ascii="Courier New" w:cs="Courier New" w:eastAsia="Courier New" w:hAnsi="Courier New"/>
          <w:sz w:val="18"/>
          <w:szCs w:val="18"/>
        </w:rPr>
        <w:br/>
        <w:t xml:space="preserve">  hardware/device_render.png</w:t>
      </w:r>
      <w:r>
        <w:rPr>
          <w:rFonts w:ascii="Courier New" w:cs="Courier New" w:eastAsia="Courier New" w:hAnsi="Courier New"/>
          <w:sz w:val="18"/>
          <w:szCs w:val="18"/>
        </w:rPr>
        <w:br/>
        <w:t xml:space="preserve">  hardware/bom.csv</w:t>
      </w:r>
      <w:r>
        <w:rPr>
          <w:rFonts w:ascii="Courier New" w:cs="Courier New" w:eastAsia="Courier New" w:hAnsi="Courier New"/>
          <w:sz w:val="18"/>
          <w:szCs w:val="18"/>
        </w:rPr>
        <w:br/>
        <w:t xml:space="preserve">  hardware/wiring.md</w:t>
      </w:r>
      <w:r>
        <w:rPr>
          <w:rFonts w:ascii="Courier New" w:cs="Courier New" w:eastAsia="Courier New" w:hAnsi="Courier New"/>
          <w:sz w:val="18"/>
          <w:szCs w:val="18"/>
        </w:rPr>
        <w:br/>
        <w:t xml:space="preserve">  hardware/cad/         ▸ ADD original CAD + STL</w:t>
      </w:r>
      <w:r>
        <w:rPr>
          <w:rFonts w:ascii="Courier New" w:cs="Courier New" w:eastAsia="Courier New" w:hAnsi="Courier New"/>
          <w:sz w:val="18"/>
          <w:szCs w:val="18"/>
        </w:rPr>
        <w:br/>
        <w:t xml:space="preserve">  docs/assembly.md      ▸ ADD photo build guide</w:t>
      </w:r>
      <w:r>
        <w:rPr>
          <w:rFonts w:ascii="Courier New" w:cs="Courier New" w:eastAsia="Courier New" w:hAnsi="Courier New"/>
          <w:sz w:val="18"/>
          <w:szCs w:val="18"/>
        </w:rPr>
        <w:br/>
        <w:t xml:space="preserve">  docs/calibration.md   ▸ ADD probe calibration</w:t>
      </w:r>
    </w:p>
    <w:p>
      <w:pPr>
        <w:spacing w:after="140" w:line="276"/>
      </w:pPr>
      <w:r>
        <w:rPr>
          <w:i/>
          <w:iCs/>
          <w:color w:val="555555"/>
        </w:rPr>
        <w:t xml:space="preserve">The three items marked ▸ ADD are the only outstanding pieces. The CAD source is the single most important one — without published, modifiable design files the project cannot be certified.</w:t>
      </w:r>
    </w:p>
    <w:p>
      <w:pPr>
        <w:pStyle w:val="Heading1"/>
      </w:pPr>
      <w:r>
        <w:t xml:space="preserve">8. Open Source Licensing Plan</w:t>
      </w:r>
    </w:p>
    <w:p>
      <w:pPr>
        <w:spacing w:after="140" w:line="276"/>
      </w:pPr>
      <w:r>
        <w:t xml:space="preserve">OSHWA asks for a separate licence for hardware, software and documentation. None may carry a “NonCommercial” or “NoDerivatives” restriction, because the definition requires that others be free to modify and commercially reuse the work.</w:t>
      </w:r>
    </w:p>
    <w:p>
      <w:pPr>
        <w:spacing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4826"/>
      </w:tblGrid>
      <w:tr>
        <w:tc>
          <w:tcPr>
            <w:tcW w:type="dxa" w:w="1900"/>
            <w:tcBorders>
              <w:top w:val="single" w:color="BBBBBB" w:sz="1"/>
              <w:left w:val="single" w:color="BBBBBB" w:sz="1"/>
              <w:bottom w:val="single" w:color="BBBBBB" w:sz="1"/>
              <w:right w:val="single" w:color="BBBBBB" w:sz="1"/>
            </w:tcBorders>
            <w:shd w:fill="0B3C5D" w:val="clear"/>
            <w:tcMar>
              <w:top w:type="dxa" w:w="70"/>
              <w:left w:type="dxa" w:w="110"/>
              <w:bottom w:type="dxa" w:w="70"/>
              <w:right w:type="dxa" w:w="110"/>
            </w:tcMar>
            <w:vAlign w:val="center"/>
          </w:tcPr>
          <w:p>
            <w:pPr>
              <w:spacing w:after="0" w:line="252"/>
            </w:pPr>
            <w:r>
              <w:rPr>
                <w:b/>
                <w:bCs/>
                <w:color w:val="FFFFFF"/>
                <w:sz w:val="19"/>
                <w:szCs w:val="19"/>
              </w:rPr>
              <w:t xml:space="preserve">Component</w:t>
            </w:r>
          </w:p>
        </w:tc>
        <w:tc>
          <w:tcPr>
            <w:tcW w:type="dxa" w:w="2300"/>
            <w:tcBorders>
              <w:top w:val="single" w:color="BBBBBB" w:sz="1"/>
              <w:left w:val="single" w:color="BBBBBB" w:sz="1"/>
              <w:bottom w:val="single" w:color="BBBBBB" w:sz="1"/>
              <w:right w:val="single" w:color="BBBBBB" w:sz="1"/>
            </w:tcBorders>
            <w:shd w:fill="0B3C5D" w:val="clear"/>
            <w:tcMar>
              <w:top w:type="dxa" w:w="70"/>
              <w:left w:type="dxa" w:w="110"/>
              <w:bottom w:type="dxa" w:w="70"/>
              <w:right w:type="dxa" w:w="110"/>
            </w:tcMar>
            <w:vAlign w:val="center"/>
          </w:tcPr>
          <w:p>
            <w:pPr>
              <w:spacing w:after="0" w:line="252"/>
            </w:pPr>
            <w:r>
              <w:rPr>
                <w:b/>
                <w:bCs/>
                <w:color w:val="FFFFFF"/>
                <w:sz w:val="19"/>
                <w:szCs w:val="19"/>
              </w:rPr>
              <w:t xml:space="preserve">Licence</w:t>
            </w:r>
          </w:p>
        </w:tc>
        <w:tc>
          <w:tcPr>
            <w:tcW w:type="dxa" w:w="4826"/>
            <w:tcBorders>
              <w:top w:val="single" w:color="BBBBBB" w:sz="1"/>
              <w:left w:val="single" w:color="BBBBBB" w:sz="1"/>
              <w:bottom w:val="single" w:color="BBBBBB" w:sz="1"/>
              <w:right w:val="single" w:color="BBBBBB" w:sz="1"/>
            </w:tcBorders>
            <w:shd w:fill="0B3C5D" w:val="clear"/>
            <w:tcMar>
              <w:top w:type="dxa" w:w="70"/>
              <w:left w:type="dxa" w:w="110"/>
              <w:bottom w:type="dxa" w:w="70"/>
              <w:right w:type="dxa" w:w="110"/>
            </w:tcMar>
            <w:vAlign w:val="center"/>
          </w:tcPr>
          <w:p>
            <w:pPr>
              <w:spacing w:after="0" w:line="252"/>
            </w:pPr>
            <w:r>
              <w:rPr>
                <w:b/>
                <w:bCs/>
                <w:color w:val="FFFFFF"/>
                <w:sz w:val="19"/>
                <w:szCs w:val="19"/>
              </w:rPr>
              <w:t xml:space="preserve">Why</w:t>
            </w:r>
          </w:p>
        </w:tc>
      </w:tr>
      <w:tr>
        <w:tc>
          <w:tcPr>
            <w:tcW w:type="dxa" w:w="1900"/>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b/>
                <w:bCs/>
                <w:color w:val="0B3C5D"/>
                <w:sz w:val="19"/>
                <w:szCs w:val="19"/>
              </w:rPr>
              <w:t xml:space="preserve">Hardware</w:t>
            </w:r>
          </w:p>
        </w:tc>
        <w:tc>
          <w:tcPr>
            <w:tcW w:type="dxa" w:w="2300"/>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sz w:val="19"/>
                <w:szCs w:val="19"/>
              </w:rPr>
              <w:t xml:space="preserve">CERN-OHL-S v2.0</w:t>
            </w:r>
          </w:p>
        </w:tc>
        <w:tc>
          <w:tcPr>
            <w:tcW w:type="dxa" w:w="4826"/>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sz w:val="19"/>
                <w:szCs w:val="19"/>
              </w:rPr>
              <w:t xml:space="preserve">Purpose-built strongly-reciprocal licence for the enclosure CAD and wiring design; derivatives stay open. CC BY-SA 4.0 is an accepted, simpler alternative.</w:t>
            </w:r>
          </w:p>
        </w:tc>
      </w:tr>
      <w:tr>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2"/>
            </w:pPr>
            <w:r>
              <w:rPr>
                <w:b/>
                <w:bCs/>
                <w:color w:val="0B3C5D"/>
                <w:sz w:val="19"/>
                <w:szCs w:val="19"/>
              </w:rPr>
              <w:t xml:space="preserve">Software</w:t>
            </w:r>
          </w:p>
        </w:tc>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2"/>
            </w:pPr>
            <w:r>
              <w:rPr>
                <w:sz w:val="19"/>
                <w:szCs w:val="19"/>
              </w:rPr>
              <w:t xml:space="preserve">MIT</w:t>
            </w:r>
          </w:p>
        </w:tc>
        <w:tc>
          <w:tcPr>
            <w:tcW w:type="dxa" w:w="4826"/>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2"/>
            </w:pPr>
            <w:r>
              <w:rPr>
                <w:sz w:val="19"/>
                <w:szCs w:val="19"/>
              </w:rPr>
              <w:t xml:space="preserve">Permissive and beginner-friendly for the firmware; lets anyone reuse the control code. GPLv3 is an alternative if reciprocal sharing of firmware changes is preferred.</w:t>
            </w:r>
          </w:p>
        </w:tc>
      </w:tr>
      <w:tr>
        <w:tc>
          <w:tcPr>
            <w:tcW w:type="dxa" w:w="1900"/>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b/>
                <w:bCs/>
                <w:color w:val="0B3C5D"/>
                <w:sz w:val="19"/>
                <w:szCs w:val="19"/>
              </w:rPr>
              <w:t xml:space="preserve">Documentation</w:t>
            </w:r>
          </w:p>
        </w:tc>
        <w:tc>
          <w:tcPr>
            <w:tcW w:type="dxa" w:w="2300"/>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sz w:val="19"/>
                <w:szCs w:val="19"/>
              </w:rPr>
              <w:t xml:space="preserve">CC BY-SA 4.0</w:t>
            </w:r>
          </w:p>
        </w:tc>
        <w:tc>
          <w:tcPr>
            <w:tcW w:type="dxa" w:w="4826"/>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sz w:val="19"/>
                <w:szCs w:val="19"/>
              </w:rPr>
              <w:t xml:space="preserve">OSHWA-recommended; allows copying and building on the docs with attribution and share-alike.</w:t>
            </w:r>
          </w:p>
        </w:tc>
      </w:tr>
      <w:tr>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2"/>
            </w:pPr>
            <w:r>
              <w:rPr>
                <w:b/>
                <w:bCs/>
                <w:color w:val="0B3C5D"/>
                <w:sz w:val="19"/>
                <w:szCs w:val="19"/>
              </w:rPr>
              <w:t xml:space="preserve">Branding</w:t>
            </w:r>
          </w:p>
        </w:tc>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2"/>
            </w:pPr>
            <w:r>
              <w:rPr>
                <w:color w:val="555555"/>
                <w:sz w:val="19"/>
                <w:szCs w:val="19"/>
              </w:rPr>
              <w:t xml:space="preserve">(not opened)</w:t>
            </w:r>
          </w:p>
        </w:tc>
        <w:tc>
          <w:tcPr>
            <w:tcW w:type="dxa" w:w="4826"/>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2"/>
            </w:pPr>
            <w:r>
              <w:rPr>
                <w:sz w:val="19"/>
                <w:szCs w:val="19"/>
              </w:rPr>
              <w:t xml:space="preserve">The name “JALSHUDDHI” may be kept as a trademark; branding is outside the scope of opening the source and does not affect certification.</w:t>
            </w:r>
          </w:p>
        </w:tc>
      </w:tr>
    </w:tbl>
    <w:p>
      <w:pPr>
        <w:pStyle w:val="Heading1"/>
      </w:pPr>
      <w:r>
        <w:t xml:space="preserve">9. Creator Contribution &amp; Third-Party Components</w:t>
      </w:r>
    </w:p>
    <w:p>
      <w:pPr>
        <w:spacing w:after="140" w:line="276"/>
      </w:pPr>
      <w:r>
        <w:t xml:space="preserve">OSHWA's “creator contribution” rule requires that everything under the creator's control be open; it does not require opening third-party components the creator did not design. It does require that those third-party parts have publicly accessible datasheets.</w:t>
      </w:r>
    </w:p>
    <w:p>
      <w:pPr>
        <w:pStyle w:val="Heading3"/>
      </w:pPr>
      <w:r>
        <w:t xml:space="preserve">Open (creator's own work)</w:t>
      </w:r>
    </w:p>
    <w:p>
      <w:pPr>
        <w:pStyle w:val="ListParagraph"/>
        <w:numPr>
          <w:ilvl w:val="0"/>
          <w:numId w:val="2"/>
        </w:numPr>
        <w:spacing w:after="60" w:line="264"/>
      </w:pPr>
      <w:r>
        <w:t xml:space="preserve">The modular enclosure design (CAD source + exported STLs).</w:t>
      </w:r>
    </w:p>
    <w:p>
      <w:pPr>
        <w:pStyle w:val="ListParagraph"/>
        <w:numPr>
          <w:ilvl w:val="0"/>
          <w:numId w:val="2"/>
        </w:numPr>
        <w:spacing w:after="60" w:line="264"/>
      </w:pPr>
      <w:r>
        <w:t xml:space="preserve">System integration: the choice and arrangement of filtration stages and the fluid path.</w:t>
      </w:r>
    </w:p>
    <w:p>
      <w:pPr>
        <w:pStyle w:val="ListParagraph"/>
        <w:numPr>
          <w:ilvl w:val="0"/>
          <w:numId w:val="2"/>
        </w:numPr>
        <w:spacing w:after="60" w:line="264"/>
      </w:pPr>
      <w:r>
        <w:t xml:space="preserve">The wiring design and pin mapping.</w:t>
      </w:r>
    </w:p>
    <w:p>
      <w:pPr>
        <w:pStyle w:val="ListParagraph"/>
        <w:numPr>
          <w:ilvl w:val="0"/>
          <w:numId w:val="2"/>
        </w:numPr>
        <w:spacing w:after="60" w:line="264"/>
      </w:pPr>
      <w:r>
        <w:t xml:space="preserve">The ESP32 firmware, including the safety state machine and sensor processing.</w:t>
      </w:r>
    </w:p>
    <w:p>
      <w:pPr>
        <w:pStyle w:val="ListParagraph"/>
        <w:numPr>
          <w:ilvl w:val="0"/>
          <w:numId w:val="2"/>
        </w:numPr>
        <w:spacing w:after="60" w:line="264"/>
      </w:pPr>
      <w:r>
        <w:t xml:space="preserve">All project documentation (this package, the README, diagrams).</w:t>
      </w:r>
    </w:p>
    <w:p>
      <w:pPr>
        <w:pStyle w:val="Heading3"/>
      </w:pPr>
      <w:r>
        <w:t xml:space="preserve">Third-party (off-the-shelf, datasheets public)</w:t>
      </w:r>
    </w:p>
    <w:p>
      <w:pPr>
        <w:pStyle w:val="ListParagraph"/>
        <w:numPr>
          <w:ilvl w:val="0"/>
          <w:numId w:val="2"/>
        </w:numPr>
        <w:spacing w:after="60" w:line="264"/>
      </w:pPr>
      <w:r>
        <w:t xml:space="preserve">ESP32 module, LCD, relay board, buck converter and 24 V adapter.</w:t>
      </w:r>
    </w:p>
    <w:p>
      <w:pPr>
        <w:pStyle w:val="ListParagraph"/>
        <w:numPr>
          <w:ilvl w:val="0"/>
          <w:numId w:val="2"/>
        </w:numPr>
        <w:spacing w:after="60" w:line="264"/>
      </w:pPr>
      <w:r>
        <w:t xml:space="preserve">Analog pH, TDS and turbidity sensor boards; DS18B20 temperature probe.</w:t>
      </w:r>
    </w:p>
    <w:p>
      <w:pPr>
        <w:pStyle w:val="ListParagraph"/>
        <w:numPr>
          <w:ilvl w:val="0"/>
          <w:numId w:val="2"/>
        </w:numPr>
        <w:spacing w:after="60" w:line="264"/>
      </w:pPr>
      <w:r>
        <w:t xml:space="preserve">Pumps, solenoid valve, filter cartridges and the UV lamp kit.</w:t>
      </w:r>
    </w:p>
    <w:p>
      <w:pPr>
        <w:spacing w:after="40"/>
      </w:pPr>
      <w:r>
        <w:t xml:space="preserve"/>
      </w:r>
    </w:p>
    <w:p>
      <w:pPr>
        <w:spacing w:after="140" w:line="276"/>
      </w:pPr>
      <w:r>
        <w:t xml:space="preserve">Because the creator's contribution is fully open and the third-party modules are standard parts with accessible documentation, the project satisfies OSHWA's requirement even though not every physical component is itself open hardware.</w:t>
      </w:r>
    </w:p>
    <w:p>
      <w:pPr>
        <w:pStyle w:val="Heading1"/>
      </w:pPr>
      <w:r>
        <w:t xml:space="preserve">10. Compliance with the Open Source Hardware Definition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single" w:color="BBBBBB" w:sz="1"/>
              <w:left w:val="single" w:color="BBBBBB" w:sz="1"/>
              <w:bottom w:val="single" w:color="BBBBBB" w:sz="1"/>
              <w:right w:val="single" w:color="BBBBBB" w:sz="1"/>
            </w:tcBorders>
            <w:shd w:fill="0B3C5D" w:val="clear"/>
            <w:tcMar>
              <w:top w:type="dxa" w:w="70"/>
              <w:left w:type="dxa" w:w="110"/>
              <w:bottom w:type="dxa" w:w="70"/>
              <w:right w:type="dxa" w:w="110"/>
            </w:tcMar>
            <w:vAlign w:val="center"/>
          </w:tcPr>
          <w:p>
            <w:pPr>
              <w:spacing w:after="0" w:line="252"/>
            </w:pPr>
            <w:r>
              <w:rPr>
                <w:b/>
                <w:bCs/>
                <w:color w:val="FFFFFF"/>
                <w:sz w:val="19"/>
                <w:szCs w:val="19"/>
              </w:rPr>
              <w:t xml:space="preserve">Definition requirement</w:t>
            </w:r>
          </w:p>
        </w:tc>
        <w:tc>
          <w:tcPr>
            <w:tcW w:type="dxa" w:w="5626"/>
            <w:tcBorders>
              <w:top w:val="single" w:color="BBBBBB" w:sz="1"/>
              <w:left w:val="single" w:color="BBBBBB" w:sz="1"/>
              <w:bottom w:val="single" w:color="BBBBBB" w:sz="1"/>
              <w:right w:val="single" w:color="BBBBBB" w:sz="1"/>
            </w:tcBorders>
            <w:shd w:fill="0B3C5D" w:val="clear"/>
            <w:tcMar>
              <w:top w:type="dxa" w:w="70"/>
              <w:left w:type="dxa" w:w="110"/>
              <w:bottom w:type="dxa" w:w="70"/>
              <w:right w:type="dxa" w:w="110"/>
            </w:tcMar>
            <w:vAlign w:val="center"/>
          </w:tcPr>
          <w:p>
            <w:pPr>
              <w:spacing w:after="0" w:line="252"/>
            </w:pPr>
            <w:r>
              <w:rPr>
                <w:b/>
                <w:bCs/>
                <w:color w:val="FFFFFF"/>
                <w:sz w:val="19"/>
                <w:szCs w:val="19"/>
              </w:rPr>
              <w:t xml:space="preserve">How JALSHUDDHI meets it</w:t>
            </w:r>
          </w:p>
        </w:tc>
      </w:tr>
      <w:tr>
        <w:tc>
          <w:tcPr>
            <w:tcW w:type="dxa" w:w="3400"/>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b/>
                <w:bCs/>
                <w:color w:val="0B3C5D"/>
                <w:sz w:val="19"/>
                <w:szCs w:val="19"/>
              </w:rPr>
              <w:t xml:space="preserve">Documentation &amp; design files released</w:t>
            </w:r>
          </w:p>
        </w:tc>
        <w:tc>
          <w:tcPr>
            <w:tcW w:type="dxa" w:w="5626"/>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sz w:val="19"/>
                <w:szCs w:val="19"/>
              </w:rPr>
              <w:t xml:space="preserve">Enclosure CAD/STL, wiring, BOM and firmware published in the public repository.</w:t>
            </w:r>
          </w:p>
        </w:tc>
      </w:tr>
      <w:tr>
        <w:tc>
          <w:tcPr>
            <w:tcW w:type="dxa" w:w="3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pPr>
            <w:r>
              <w:rPr>
                <w:b/>
                <w:bCs/>
                <w:color w:val="0B3C5D"/>
                <w:sz w:val="19"/>
                <w:szCs w:val="19"/>
              </w:rPr>
              <w:t xml:space="preserve">Modification &amp; distribution permitted</w:t>
            </w:r>
          </w:p>
        </w:tc>
        <w:tc>
          <w:tcPr>
            <w:tcW w:type="dxa" w:w="5626"/>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pPr>
            <w:r>
              <w:rPr>
                <w:sz w:val="19"/>
                <w:szCs w:val="19"/>
              </w:rPr>
              <w:t xml:space="preserve">CERN-OHL-S, MIT and CC BY-SA all permit modification and redistribution.</w:t>
            </w:r>
          </w:p>
        </w:tc>
      </w:tr>
      <w:tr>
        <w:tc>
          <w:tcPr>
            <w:tcW w:type="dxa" w:w="3400"/>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b/>
                <w:bCs/>
                <w:color w:val="0B3C5D"/>
                <w:sz w:val="19"/>
                <w:szCs w:val="19"/>
              </w:rPr>
              <w:t xml:space="preserve">Commercial use allowed</w:t>
            </w:r>
          </w:p>
        </w:tc>
        <w:tc>
          <w:tcPr>
            <w:tcW w:type="dxa" w:w="5626"/>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sz w:val="19"/>
                <w:szCs w:val="19"/>
              </w:rPr>
              <w:t xml:space="preserve">None of the chosen licences carry NonCommercial or NoDerivatives clauses.</w:t>
            </w:r>
          </w:p>
        </w:tc>
      </w:tr>
      <w:tr>
        <w:tc>
          <w:tcPr>
            <w:tcW w:type="dxa" w:w="3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pPr>
            <w:r>
              <w:rPr>
                <w:b/>
                <w:bCs/>
                <w:color w:val="0B3C5D"/>
                <w:sz w:val="19"/>
                <w:szCs w:val="19"/>
              </w:rPr>
              <w:t xml:space="preserve">Software provided &amp; openly licensed</w:t>
            </w:r>
          </w:p>
        </w:tc>
        <w:tc>
          <w:tcPr>
            <w:tcW w:type="dxa" w:w="5626"/>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pPr>
            <w:r>
              <w:rPr>
                <w:sz w:val="19"/>
                <w:szCs w:val="19"/>
              </w:rPr>
              <w:t xml:space="preserve">Firmware released under MIT; relies only on open source libraries.</w:t>
            </w:r>
          </w:p>
        </w:tc>
      </w:tr>
      <w:tr>
        <w:tc>
          <w:tcPr>
            <w:tcW w:type="dxa" w:w="3400"/>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b/>
                <w:bCs/>
                <w:color w:val="0B3C5D"/>
                <w:sz w:val="19"/>
                <w:szCs w:val="19"/>
              </w:rPr>
              <w:t xml:space="preserve">Third-party parts identified</w:t>
            </w:r>
          </w:p>
        </w:tc>
        <w:tc>
          <w:tcPr>
            <w:tcW w:type="dxa" w:w="5626"/>
            <w:tcBorders>
              <w:top w:val="single" w:color="BBBBBB" w:sz="1"/>
              <w:left w:val="single" w:color="BBBBBB" w:sz="1"/>
              <w:bottom w:val="single" w:color="BBBBBB" w:sz="1"/>
              <w:right w:val="single" w:color="BBBBBB" w:sz="1"/>
            </w:tcBorders>
            <w:shd w:fill="E8F1F5" w:val="clear"/>
            <w:tcMar>
              <w:top w:type="dxa" w:w="70"/>
              <w:left w:type="dxa" w:w="110"/>
              <w:bottom w:type="dxa" w:w="70"/>
              <w:right w:type="dxa" w:w="110"/>
            </w:tcMar>
            <w:vAlign w:val="center"/>
          </w:tcPr>
          <w:p>
            <w:pPr>
              <w:spacing w:after="0" w:line="252"/>
            </w:pPr>
            <w:r>
              <w:rPr>
                <w:sz w:val="19"/>
                <w:szCs w:val="19"/>
              </w:rPr>
              <w:t xml:space="preserve">BOM marks every off-the-shelf module; datasheets are publicly available.</w:t>
            </w:r>
          </w:p>
        </w:tc>
      </w:tr>
      <w:tr>
        <w:tc>
          <w:tcPr>
            <w:tcW w:type="dxa" w:w="3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pPr>
            <w:r>
              <w:rPr>
                <w:b/>
                <w:bCs/>
                <w:color w:val="0B3C5D"/>
                <w:sz w:val="19"/>
                <w:szCs w:val="19"/>
              </w:rPr>
              <w:t xml:space="preserve">Clear, separate licences</w:t>
            </w:r>
          </w:p>
        </w:tc>
        <w:tc>
          <w:tcPr>
            <w:tcW w:type="dxa" w:w="5626"/>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pPr>
            <w:r>
              <w:rPr>
                <w:sz w:val="19"/>
                <w:szCs w:val="19"/>
              </w:rPr>
              <w:t xml:space="preserve">Distinct licences declared for hardware, software and documentation.</w:t>
            </w:r>
          </w:p>
        </w:tc>
      </w:tr>
    </w:tbl>
    <w:p>
      <w:pPr>
        <w:pStyle w:val="Heading1"/>
      </w:pPr>
      <w:r>
        <w:t xml:space="preserve">11. Submission Checklist &amp; Next Steps</w:t>
      </w:r>
    </w:p>
    <w:p>
      <w:pPr>
        <w:spacing w:after="140" w:line="276"/>
      </w:pPr>
      <w:r>
        <w:t xml:space="preserve">To turn this package into a live certification:</w:t>
      </w:r>
    </w:p>
    <w:p>
      <w:pPr>
        <w:pStyle w:val="ListParagraph"/>
        <w:numPr>
          <w:ilvl w:val="0"/>
          <w:numId w:val="4"/>
        </w:numPr>
        <w:spacing w:after="60" w:line="264"/>
      </w:pPr>
      <w:r>
        <w:t xml:space="preserve">Create a public repository (GitHub/GitLab) and upload everything in Section 7, including the CAD source files and exported STLs.</w:t>
      </w:r>
    </w:p>
    <w:p>
      <w:pPr>
        <w:pStyle w:val="ListParagraph"/>
        <w:numPr>
          <w:ilvl w:val="0"/>
          <w:numId w:val="4"/>
        </w:numPr>
        <w:spacing w:after="60" w:line="264"/>
      </w:pPr>
      <w:r>
        <w:t xml:space="preserve">Add the licence files: LICENSE (MIT) for software, the CERN-OHL-S notice for hardware, and a CC BY-SA 4.0 notice for the documentation.</w:t>
      </w:r>
    </w:p>
    <w:p>
      <w:pPr>
        <w:pStyle w:val="ListParagraph"/>
        <w:numPr>
          <w:ilvl w:val="0"/>
          <w:numId w:val="4"/>
        </w:numPr>
        <w:spacing w:after="60" w:line="264"/>
      </w:pPr>
      <w:r>
        <w:t xml:space="preserve">Add a few assembly photos and a short calibration note to docs/ (optional but strengthens copyright protection).</w:t>
      </w:r>
    </w:p>
    <w:p>
      <w:pPr>
        <w:pStyle w:val="ListParagraph"/>
        <w:numPr>
          <w:ilvl w:val="0"/>
          <w:numId w:val="4"/>
        </w:numPr>
        <w:spacing w:after="60" w:line="264"/>
      </w:pPr>
      <w:r>
        <w:t xml:space="preserve">Go to application.oshwa.org/apply and transcribe the values from Section 1; paste the description; provide the repository URL as both the project website and documentation URL.</w:t>
      </w:r>
    </w:p>
    <w:p>
      <w:pPr>
        <w:pStyle w:val="ListParagraph"/>
        <w:numPr>
          <w:ilvl w:val="0"/>
          <w:numId w:val="4"/>
        </w:numPr>
        <w:spacing w:after="60" w:line="264"/>
      </w:pPr>
      <w:r>
        <w:t xml:space="preserve">Submit. OSHWA reviews the self-certification and, on approval, issues your UID (INxxxxxx) and the right to display the certification mark for one year (renewable).</w:t>
      </w:r>
    </w:p>
    <w:p>
      <w:pPr>
        <w:spacing w:after="40"/>
      </w:pPr>
      <w:r>
        <w:t xml:space="preserve"/>
      </w:r>
    </w:p>
    <w:p>
      <w:pPr>
        <w:spacing w:after="140" w:line="276"/>
      </w:pPr>
      <w:r>
        <w:rPr>
          <w:i/>
          <w:iCs/>
          <w:color w:val="555555"/>
        </w:rPr>
        <w:t xml:space="preserve">Note: OSHWA certification is the recognised programme for designating hardware as open source; it is free and there is no separate monetary prize. Certification is what lets the project carry the official open-source-hardware mark and appear in the global certified-projects directory.</w:t>
      </w:r>
    </w:p>
    <w:p>
      <w:pPr>
        <w:pStyle w:val="Heading1"/>
      </w:pPr>
      <w:r>
        <w:t xml:space="preserve">Appendix A — References</w:t>
      </w:r>
    </w:p>
    <w:p>
      <w:pPr>
        <w:spacing w:after="80" w:line="276"/>
      </w:pPr>
      <w:r>
        <w:rPr>
          <w:i/>
          <w:iCs/>
          <w:color w:val="555555"/>
        </w:rPr>
        <w:t xml:space="preserve">Background and requirements draw on the following sources. Statistics are paraphrased; figures should be re-verified against the primary sources before publication.</w:t>
      </w:r>
    </w:p>
    <w:p>
      <w:pPr>
        <w:pStyle w:val="ListParagraph"/>
        <w:numPr>
          <w:ilvl w:val="0"/>
          <w:numId w:val="2"/>
        </w:numPr>
        <w:spacing w:after="60" w:line="264"/>
      </w:pPr>
      <w:r>
        <w:t xml:space="preserve">Open Source Hardware Association — Certification requirements, process, documentation and licensing pages (certification.oshwa.org).</w:t>
      </w:r>
    </w:p>
    <w:p>
      <w:pPr>
        <w:pStyle w:val="ListParagraph"/>
        <w:numPr>
          <w:ilvl w:val="0"/>
          <w:numId w:val="2"/>
        </w:numPr>
        <w:spacing w:after="60" w:line="264"/>
      </w:pPr>
      <w:r>
        <w:t xml:space="preserve">Open Source Hardware Definition (oshwa.org/definition).</w:t>
      </w:r>
    </w:p>
    <w:p>
      <w:pPr>
        <w:pStyle w:val="ListParagraph"/>
        <w:numPr>
          <w:ilvl w:val="0"/>
          <w:numId w:val="2"/>
        </w:numPr>
        <w:spacing w:after="60" w:line="264"/>
      </w:pPr>
      <w:r>
        <w:t xml:space="preserve">The Tribune — reporting on legal vs. unconnected water/sewer properties in the Karnal Municipal Corporation area.</w:t>
      </w:r>
    </w:p>
    <w:p>
      <w:pPr>
        <w:pStyle w:val="ListParagraph"/>
        <w:numPr>
          <w:ilvl w:val="0"/>
          <w:numId w:val="2"/>
        </w:numPr>
        <w:spacing w:after="60" w:line="264"/>
      </w:pPr>
      <w:r>
        <w:t xml:space="preserve">Central Ground Water Board — Aquifer Mapping and Management Plan for Karnal District (groundwater salinity and reliance on canal/surface water).</w:t>
      </w:r>
    </w:p>
    <w:p>
      <w:pPr>
        <w:pStyle w:val="ListParagraph"/>
        <w:numPr>
          <w:ilvl w:val="0"/>
          <w:numId w:val="2"/>
        </w:numPr>
        <w:spacing w:after="60" w:line="264"/>
      </w:pPr>
      <w:r>
        <w:t xml:space="preserve">Press Information Bureau / AMRUT-2 coverage — delays in piped-water rollout in Haryana.</w:t>
      </w:r>
    </w:p>
    <w:p>
      <w:pPr>
        <w:pStyle w:val="ListParagraph"/>
        <w:numPr>
          <w:ilvl w:val="0"/>
          <w:numId w:val="2"/>
        </w:numPr>
        <w:spacing w:after="60" w:line="264"/>
      </w:pPr>
      <w:r>
        <w:t xml:space="preserve">WHO / UNICEF (2019) — global estimate that one in three people lack safely managed drinking water.</w:t>
      </w:r>
    </w:p>
    <w:p>
      <w:pPr>
        <w:pStyle w:val="ListParagraph"/>
        <w:numPr>
          <w:ilvl w:val="0"/>
          <w:numId w:val="2"/>
        </w:numPr>
        <w:spacing w:after="60" w:line="264"/>
      </w:pPr>
      <w:r>
        <w:t xml:space="preserve">Project source materials supplied by the creator: “Current project” brief, “List of Materials”, “Understanding the scenario”, “Karnal — Pipe Water Connection” and the design deck.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1040" w:hanging="26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mbria" w:cs="Cambria" w:eastAsia="Cambria" w:hAnsi="Cambria"/>
      <w:b/>
      <w:bCs/>
      <w:color w:val="0B3C5D"/>
      <w:sz w:val="56"/>
      <w:szCs w:val="56"/>
    </w:rPr>
  </w:style>
  <w:style w:type="paragraph" w:styleId="Heading1">
    <w:name w:val="Heading 1"/>
    <w:basedOn w:val="Normal"/>
    <w:next w:val="Normal"/>
    <w:qFormat/>
    <w:pPr>
      <w:pBdr>
        <w:bottom w:val="single" w:color="2E8BC0" w:sz="6" w:space="6"/>
      </w:pBdr>
      <w:spacing w:after="160" w:before="320"/>
      <w:outlineLvl w:val="0"/>
    </w:pPr>
    <w:rPr>
      <w:rFonts w:ascii="Cambria" w:cs="Cambria" w:eastAsia="Cambria" w:hAnsi="Cambria"/>
      <w:b/>
      <w:bCs/>
      <w:color w:val="0B3C5D"/>
      <w:sz w:val="30"/>
      <w:szCs w:val="30"/>
    </w:rPr>
  </w:style>
  <w:style w:type="paragraph" w:styleId="Heading2">
    <w:name w:val="Heading 2"/>
    <w:basedOn w:val="Normal"/>
    <w:next w:val="Normal"/>
    <w:qFormat/>
    <w:pPr>
      <w:spacing w:after="110" w:before="240"/>
      <w:outlineLvl w:val="1"/>
    </w:pPr>
    <w:rPr>
      <w:rFonts w:ascii="Cambria" w:cs="Cambria" w:eastAsia="Cambria" w:hAnsi="Cambria"/>
      <w:b/>
      <w:bCs/>
      <w:color w:val="1C7293"/>
      <w:sz w:val="25"/>
      <w:szCs w:val="25"/>
    </w:rPr>
  </w:style>
  <w:style w:type="paragraph" w:styleId="Heading3">
    <w:name w:val="Heading 3"/>
    <w:basedOn w:val="Normal"/>
    <w:next w:val="Normal"/>
    <w:qFormat/>
    <w:pPr>
      <w:spacing w:after="80" w:before="160"/>
      <w:outlineLvl w:val="2"/>
    </w:pPr>
    <w:rPr>
      <w:rFonts w:ascii="Calibri" w:cs="Calibri" w:eastAsia="Calibri" w:hAnsi="Calibri"/>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e5a11932e79aba3ae2fac04ff5d60524c65ca9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JALSHUDDHI — OSHWA Certification Application</dc:title>
  <dc:creator>Sayaan Mehta</dc:creator>
  <dc:description>OSHWA Open Source Hardware Certification application and documentation package</dc:description>
  <cp:lastModifiedBy>Un-named</cp:lastModifiedBy>
  <cp:revision>1</cp:revision>
  <dcterms:created xsi:type="dcterms:W3CDTF">2026-06-16T19:55:42.083Z</dcterms:created>
  <dcterms:modified xsi:type="dcterms:W3CDTF">2026-06-16T19:55:42.083Z</dcterms:modified>
</cp:coreProperties>
</file>

<file path=docProps/custom.xml><?xml version="1.0" encoding="utf-8"?>
<Properties xmlns="http://schemas.openxmlformats.org/officeDocument/2006/custom-properties" xmlns:vt="http://schemas.openxmlformats.org/officeDocument/2006/docPropsVTypes"/>
</file>