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MarkFlow</w:t>
      </w:r>
    </w:p>
    <w:p>
      <w:pPr>
        <w:pBdr>
          <w:bottom w:val="single" w:color="C8A84B" w:sz="12" w:space="8"/>
        </w:pBdr>
        <w:spacing w:before="60" w:after="60"/>
        <w:jc w:val="center"/>
      </w:pPr>
      <w:r>
        <w:rPr>
          <w:rFonts w:ascii="Arial" w:cs="Arial" w:eastAsia="Arial" w:hAnsi="Arial"/>
          <w:i/>
          <w:iCs/>
          <w:color w:val="3A4F6B"/>
          <w:sz w:val="28"/>
          <w:szCs w:val="28"/>
        </w:rPr>
        <w:t xml:space="preserve">Document &amp; Media Repository Intelligence Platform</w:t>
      </w:r>
    </w:p>
    <w:p>
      <w:pPr>
        <w:spacing w:before="180" w:after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Prepared for: IBEW Local 46 / Internal Operations Review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Version 0.7.4b  |  March 2026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What Is MarkFlow?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 is a custom-built, self-hosted web application designed to solve a problem every organization with years of accumulated documents eventually faces: your files exist, but you can’t find, search, or intelligently use them.</w:t>
      </w:r>
    </w:p>
    <w:p>
      <w:pPr>
        <w:spacing w:before="80" w:after="0"/>
      </w:pPr>
      <w:r>
        <w:t xml:space="preserve"/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its core, MarkFlow does three things: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Converts documents between their native formats (Word, PDF, PowerPoint, Excel, CSV) and Markdown — a universal, searchable plain-text format.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Indexes your entire document repository — processing hundreds of thousands of files from a network drive into a searchable knowledge base without ever modifying the originals.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Powers AI-assisted search and querying across that knowledge base, so you can ask plain-English questions about your own documents and get sourced answers.</w:t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How It Works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The Conversion Engine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supported file format has a dedicated handler registered in a Format Registry. When a file comes in, MarkFlow looks up the right handler and processes it. No black-box tools are involved — every handler operates directly on the file’s internal structure, which means full control over metadata, styling, and fidelity.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DOCX</w:t>
            </w:r>
          </w:p>
        </w:tc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 directions</w:t>
            </w:r>
          </w:p>
        </w:tc>
        <w:tc>
          <w:tcPr>
            <w:tcW w:type="dxa" w:w="49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round-trip with style preservation</w:t>
            </w:r>
          </w:p>
        </w:tc>
      </w:tr>
      <w:tr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</w:t>
            </w:r>
          </w:p>
        </w:tc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 Markdown</w:t>
            </w:r>
          </w:p>
        </w:tc>
        <w:tc>
          <w:tcPr>
            <w:tcW w:type="dxa" w:w="49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Text extraction + OCR for scanned documents</w:t>
            </w:r>
          </w:p>
        </w:tc>
      </w:tr>
      <w:tr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PPTX</w:t>
            </w:r>
          </w:p>
        </w:tc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 directions</w:t>
            </w:r>
          </w:p>
        </w:tc>
        <w:tc>
          <w:tcPr>
            <w:tcW w:type="dxa" w:w="49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Slide text, notes, metadata</w:t>
            </w:r>
          </w:p>
        </w:tc>
      </w:tr>
      <w:tr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XLSX / CSV</w:t>
            </w:r>
          </w:p>
        </w:tc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Both directions</w:t>
            </w:r>
          </w:p>
        </w:tc>
        <w:tc>
          <w:tcPr>
            <w:tcW w:type="dxa" w:w="49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Tabular data to Markdown tables</w:t>
            </w:r>
          </w:p>
        </w:tc>
      </w:tr>
      <w:tr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/ PSD / INDD / AEP</w:t>
            </w:r>
          </w:p>
        </w:tc>
        <w:tc>
          <w:tcPr>
            <w:tcW w:type="dxa" w:w="2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Index only</w:t>
            </w:r>
          </w:p>
        </w:tc>
        <w:tc>
          <w:tcPr>
            <w:tcW w:type="dxa" w:w="49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Metadata + text layer extraction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The OCR Pipeline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scanned documents or image-based PDFs, MarkFlow automatically detects whether a file needs OCR using multiple signals (text density, image ratio, page structure). It then runs Tesseract to extract text, flags low-confidence results for human review, and can run entirely unattended for large batch jobs.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The Fidelity Tier System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 of MarkFlow’s most important features is its three-tier round-trip fidelity system — the ability to convert a document to Markdown and reconstruct the original with varying degrees of formatting accuracy: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Preserves</w:t>
            </w:r>
          </w:p>
        </w:tc>
        <w:tc>
          <w:tcPr>
            <w:tcW w:type="dxa" w:w="3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1 — Structure</w:t>
            </w:r>
          </w:p>
        </w:tc>
        <w:tc>
          <w:tcPr>
            <w:tcW w:type="dxa" w:w="4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Headings, paragraphs, tables, images, lists</w:t>
            </w:r>
          </w:p>
        </w:tc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conversion, content only</w:t>
            </w:r>
          </w:p>
        </w:tc>
      </w:tr>
      <w:tr>
        <w:tc>
          <w:tcPr>
            <w:tcW w:type="dxa" w:w="20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 — Style</w:t>
            </w:r>
          </w:p>
        </w:tc>
        <w:tc>
          <w:tcPr>
            <w:tcW w:type="dxa" w:w="4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Fonts, spacing, column widths, page settings (via sidecar JSON)</w:t>
            </w:r>
          </w:p>
        </w:tc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document reconstruction</w:t>
            </w:r>
          </w:p>
        </w:tc>
      </w:tr>
      <w:tr>
        <w:tc>
          <w:tcPr>
            <w:tcW w:type="dxa" w:w="20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3 — Original Patch</w:t>
            </w:r>
          </w:p>
        </w:tc>
        <w:tc>
          <w:tcPr>
            <w:tcW w:type="dxa" w:w="4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Near-pixel-perfect — patches the original file directly</w:t>
            </w:r>
          </w:p>
        </w:tc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Legal documents, master templates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Style information is stored in a .styles.json sidecar file, keyed by a SHA-256 hash of the content — so even if elements are reordered, MarkFlow can still match the right styling back to the right content.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The Bulk Conversion Engine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most powerful feature for organizational use. MarkFlow can: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Mount your network share as read-only — the source files are never touched.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Mirror the folder hierarchy into a local Markdown repository on your NAS.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 incrementally — on subsequent runs, only new or modified files are converted.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Resume interrupted jobs — picks up exactly where it stopped.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Handle failures gracefully — one bad file never crashes the entire batch.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The Search Layer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Once documents are converted, Meilisearch indexes the entire Markdown repository providing full-text search across the entire document library, with results linked to both the Markdown version and the original source file.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AI-Assisted Querying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MarkFlow’s search index integrates with AI assistants to enable plain-English queries against your document library. The workflow: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ask a question in natural language.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AI queries Meilisearch and retrieves the top relevant documents.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AI reads those documents in full (approximately 10 documents × ~5,000 tokens each).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AI synthesizes an answer with direct citations back to your source files.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4B" w:sz="1"/>
              <w:left w:val="single" w:color="C8A84B" w:sz="24"/>
              <w:bottom w:val="single" w:color="C8A84B" w:sz="1"/>
              <w:right w:val="single" w:color="F2F4F7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0"/>
                <w:szCs w:val="20"/>
              </w:rPr>
              <w:t xml:space="preserve">Example: “What does our standard indemnification clause say?” or “What projects were active in Q3 of last year?” — answered from your own documents, with citations.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LLM Provider Integration &amp; MCP Server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 includes a provider management system for connecting to AI APIs (OpenAI, Anthropic, local models) with encrypted credential storage. It also exposes a Model Context Protocol (MCP) server on port 8001 with 7 tools, allowing AI systems to interact with MarkFlow’s conversion and search capabilities programmatically.</w:t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4B" w:sz="1"/>
              <w:left w:val="single" w:color="C8A84B" w:sz="24"/>
              <w:bottom w:val="single" w:color="C8A84B" w:sz="1"/>
              <w:right w:val="single" w:color="F2F4F7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0"/>
                <w:szCs w:val="20"/>
              </w:rPr>
              <w:t xml:space="preserve">These are honest, known constraints of the system as it stands today — not defects, but scoped decisions with planned resolutions.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Technical Limitations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No authentication system yet.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MarkFlow is currently a single-user, trusted-network application. Multi-user accounts with role-based access control are planned for Phase 9.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PDF to DOCX round-trip is imperfect.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PDFs can be read and indexed, but reconstructing an editable DOCX from a PDF loses formatting nuances not stored as structured data.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Adobe file support is metadata + text layers only.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MarkFlow cannot yet rasterize or visually describe artwork. That capability is planned for Phase 8.1.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No video or audio transcription yet.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Phase 8 will add Whisper-based media transcription for MP3, MP4, MOV, and similar formats.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Single-server deployment.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MarkFlow runs as a single Docker stack. Horizontal scaling is not yet implemented.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Meilisearch index is Markdown-only.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Searching within original binary files is not possible without conversion first.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Operational Limitations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Initial bulk conversion is time-intensive.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 large repository can take many hours on first run, depending on hardware.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OCR accuracy depends on scan quality.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Tesseract’s accuracy degrades on low-quality or handwritten scans. Human verification remains necessary for critical documents.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Network share dependency.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Bulk conversion requires the source share to be mounted. If unavailable, incremental conversion cannot run.</w:t>
      </w:r>
    </w:p>
    <w:p>
      <w:pPr>
        <w:spacing w:before="60" w:after="100" w:line="276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No deduplication of similar documents.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MarkFlow tracks files by path and modification time. Near-duplicate documents are each indexed separately.</w:t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Future Potential for Your Document Repository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Given IBEW Local 46’s operational context — a union with decades of contracts, grievance records, apprenticeship documentation, project correspondence, and administrative files — MarkFlow has significant potential as a living institutional knowledge base.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Near-Term Value (Phases 8–9, Next 6–12 Months)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Media Transcription (Phase 8)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Safety training videos, recorded meetings, apprenticeship lectures, and jurisdiction walkthroughs can all be transcribed automatically. Once transcribed, they become searchable alongside your documents. A query like “What were the safety requirements discussed in the 2024 site orientation?” becomes answerable from video content.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Visual Enrichment (Phase 8.1)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 will gain the ability to describe keyframes from videos and images using AI vision. Blueprints, site photos, wiring diagrams, and project documentation images can all be described and indexed.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Authentication and Multi-User Access (Phase 9)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gains user accounts with role-based access control — allowing apprentices, journeymen, business reps, and administrators to each see only what they should, while still sharing the same search index.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3A4F6B"/>
          <w:sz w:val="24"/>
          <w:szCs w:val="24"/>
        </w:rPr>
        <w:t xml:space="preserve">Strategic Long-Term Value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Contract Intelligence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collective bargaining agreement, project labor agreement, and side letter — converted, indexed, and queryable. A business rep could ask “What does our 2022 Sound Transit CBA say about shift differentials?” and get a sourced answer in seconds.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Grievance and Arbitration Research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Historical grievance records, arbitration decisions, and similar-case precedents become instantly searchable. Research that currently takes hours of manual file-digging could be done in minutes.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Apprenticeship Program Integration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MarkFlow’s document repository could feed directly into the IP2A pre-apprenticeship program — indexing curriculum materials, assessment documents, and program records, making them queryable through an AI assistant tailored to the apprenticeship context.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4F6B"/>
          <w:sz w:val="22"/>
          <w:szCs w:val="22"/>
        </w:rPr>
        <w:t xml:space="preserve">Knowledge Continuity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experienced staff retire or transition, institutional knowledge often walks out the door with them. A fully indexed document repository preserves that knowledge in a searchable, accessible form for the next generation.</w:t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Logical Future Features Not Yet Planned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capabilities have not been formally scoped but represent a natural and wise evolution of the platform: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Delivered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Document Expiration &amp; Review Tracking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Automatically flags contracts, certifications, and permits approaching expiration. Prevents lapsed certifications that create liability.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 Diffing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Plain-English summary of what changed between document versions. Useful for contract amendments, policy updates, and procedure revisions.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Relationship Mapping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Detects and maps cross-references between documents (contract → wage schedule → grievance). Navigate related documents like a knowledge graph.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Redaction Pipeline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redaction of sensitive information (SSNs, addresses, medical info) before documents go to outside parties.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Email &amp; Correspondence Integration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Pull email threads via IMAP/Exchange so correspondence about a project or grievance lives alongside the formal documents in the same searchable space.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Automated Document Classification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tags documents by type (contract, grievance, safety report, training material) and routes them into the correct folder structure during bulk ingestion.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 Trail &amp; Access Logging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 log of who searched for what, when, and which documents they accessed. Important for compliance and privilege protection.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Offline / Air-Gapped Mode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Querying layer uses a locally-hosted AI model instead of a cloud API — keeping document content entirely on-premises for sensitive materials.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Mobile-Friendly Interface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Responsive UI allowing field staff and business reps to search the repository from a phone or tablet on job sites.</w:t>
            </w:r>
          </w:p>
        </w:tc>
      </w:tr>
      <w:tr>
        <w:tc>
          <w:tcPr>
            <w:tcW w:type="dxa" w:w="320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Scheduled Reporting</w:t>
            </w:r>
          </w:p>
        </w:tc>
        <w:tc>
          <w:tcPr>
            <w:tcW w:type="dxa" w:w="6160"/>
            <w:tcBorders>
              <w:top w:val="single" w:color="D0D6E0" w:sz="1"/>
              <w:left w:val="single" w:color="D0D6E0" w:sz="1"/>
              <w:bottom w:val="single" w:color="D0D6E0" w:sz="1"/>
              <w:right w:val="single" w:color="D0D6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weekly/monthly digests: most-searched topics, expiring contracts, new documents indexed since last week.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C8A84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Summary</w:t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 is purpose-built institutional infrastructure. It is not a SaaS product that trades your data for a monthly bill — it runs entirely on your hardware, your network, and your terms. The documents never leave the building unless you choose to send them.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4B" w:sz="1"/>
              <w:left w:val="single" w:color="C8A84B" w:sz="24"/>
              <w:bottom w:val="single" w:color="C8A84B" w:sz="1"/>
              <w:right w:val="single" w:color="F2F4F7" w:sz="1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4A"/>
                <w:sz w:val="20"/>
                <w:szCs w:val="20"/>
              </w:rPr>
              <w:t xml:space="preserve">For an organization like IBEW Local 46 — with deep historical records, ongoing complex negotiations, a growing apprenticeship program, and field staff who need information when and where they are — a fully indexed, AI-queryable document repository is not a luxury. It is operational infrastructure that pays dividends for years.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 w:line="27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MarkFlow is the foundation that makes that possible.</w:t>
      </w:r>
    </w:p>
    <w:p>
      <w:pPr>
        <w:spacing w:before="200" w:after="0"/>
      </w:pPr>
      <w:r>
        <w:t xml:space="preserve"/>
      </w:r>
    </w:p>
    <w:p>
      <w:pPr>
        <w:pBdr>
          <w:top w:val="single" w:color="D0D6E0" w:sz="4" w:space="6"/>
        </w:pBdr>
        <w:spacing w:before="60" w:after="0"/>
      </w:pPr>
      <w:r>
        <w:rPr>
          <w:rFonts w:ascii="Arial" w:cs="Arial" w:eastAsia="Arial" w:hAnsi="Arial"/>
          <w:i/>
          <w:iCs/>
          <w:color w:val="3A4F6B"/>
          <w:sz w:val="16"/>
          <w:szCs w:val="16"/>
        </w:rPr>
        <w:t xml:space="preserve">This document was prepared as an internal program overview. For technical specifications, refer to the MarkFlow CLAUDE.md and master spec documents in the project repository.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6E0" w:sz="4" w:space="6"/>
      </w:pBdr>
      <w:tabs>
        <w:tab w:val="right" w:pos="9360"/>
      </w:tabs>
      <w:spacing w:before="0"/>
      <w:jc w:val="left"/>
    </w:pPr>
    <w:r>
      <w:rPr>
        <w:rFonts w:ascii="Arial" w:cs="Arial" w:eastAsia="Arial" w:hAnsi="Arial"/>
        <w:color w:val="3A4F6B"/>
        <w:sz w:val="16"/>
        <w:szCs w:val="16"/>
      </w:rPr>
      <w:t xml:space="preserve">MarkFlow v0.7.4b — March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A4F6B"/>
        <w:sz w:val="16"/>
        <w:szCs w:val="16"/>
      </w:rPr>
      <w:t xml:space="preserve">Page </w:t>
    </w:r>
    <w:r>
      <w:rPr>
        <w:rFonts w:ascii="Arial" w:cs="Arial" w:eastAsia="Arial" w:hAnsi="Arial"/>
        <w:color w:val="3A4F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A4F6B"/>
        <w:sz w:val="16"/>
        <w:szCs w:val="16"/>
      </w:rPr>
      <w:t xml:space="preserve"> of </w:t>
    </w:r>
    <w:r>
      <w:rPr>
        <w:rFonts w:ascii="Arial" w:cs="Arial" w:eastAsia="Arial" w:hAnsi="Arial"/>
        <w:color w:val="3A4F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6E0" w:sz="4" w:space="6"/>
      </w:pBdr>
      <w:tabs>
        <w:tab w:val="right" w:pos="9360"/>
      </w:tabs>
      <w:spacing w:after="0"/>
    </w:pPr>
    <w:r>
      <w:rPr>
        <w:rFonts w:ascii="Arial" w:cs="Arial" w:eastAsia="Arial" w:hAnsi="Arial"/>
        <w:color w:val="3A4F6B"/>
        <w:sz w:val="16"/>
        <w:szCs w:val="16"/>
      </w:rPr>
      <w:t xml:space="preserve">MarkFlow — Program Summary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A4F6B"/>
        <w:sz w:val="16"/>
        <w:szCs w:val="16"/>
      </w:rPr>
      <w:t xml:space="preserve">IBEW Local 46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3A4F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A4F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2026-03-25T19:51:16.373Z</dcterms:created>
  <dcterms:modified xsi:type="dcterms:W3CDTF">2026-03-25T19:51:16.374Z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