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D04A2" w14:textId="77777777" w:rsidR="00F40872" w:rsidRDefault="00F40872">
      <w:pPr>
        <w:spacing w:before="2400"/>
      </w:pPr>
    </w:p>
    <w:p w14:paraId="1AA76CD5" w14:textId="77777777" w:rsidR="00F40872" w:rsidRDefault="00E21286">
      <w:pPr>
        <w:spacing w:after="200"/>
        <w:jc w:val="center"/>
      </w:pPr>
      <w:r>
        <w:rPr>
          <w:b/>
          <w:bCs/>
          <w:color w:val="2563EB"/>
          <w:sz w:val="56"/>
          <w:szCs w:val="56"/>
        </w:rPr>
        <w:t>MarkFlow</w:t>
      </w:r>
    </w:p>
    <w:p w14:paraId="2406E0C7" w14:textId="77777777" w:rsidR="00F40872" w:rsidRDefault="00E21286">
      <w:pPr>
        <w:spacing w:after="120"/>
        <w:jc w:val="center"/>
      </w:pPr>
      <w:r>
        <w:rPr>
          <w:color w:val="1F2937"/>
          <w:sz w:val="28"/>
          <w:szCs w:val="28"/>
        </w:rPr>
        <w:t>Bidirectional Markdown Converter</w:t>
      </w:r>
    </w:p>
    <w:p w14:paraId="36E9EB04" w14:textId="77777777" w:rsidR="00F40872" w:rsidRDefault="00E21286">
      <w:pPr>
        <w:pBdr>
          <w:bottom w:val="single" w:sz="6" w:space="1" w:color="2563EB"/>
        </w:pBdr>
        <w:spacing w:after="600"/>
        <w:jc w:val="center"/>
      </w:pPr>
      <w:r>
        <w:rPr>
          <w:sz w:val="12"/>
          <w:szCs w:val="12"/>
        </w:rPr>
        <w:t xml:space="preserve"> </w:t>
      </w:r>
    </w:p>
    <w:p w14:paraId="46E9BF2F" w14:textId="77777777" w:rsidR="00F40872" w:rsidRDefault="00E21286">
      <w:pPr>
        <w:spacing w:after="80"/>
        <w:jc w:val="center"/>
      </w:pPr>
      <w:r>
        <w:rPr>
          <w:color w:val="1F2937"/>
          <w:sz w:val="32"/>
          <w:szCs w:val="32"/>
        </w:rPr>
        <w:t>Specification Review &amp; Refinement</w:t>
      </w:r>
    </w:p>
    <w:p w14:paraId="105859E6" w14:textId="77777777" w:rsidR="00F40872" w:rsidRDefault="00E21286">
      <w:pPr>
        <w:spacing w:after="80"/>
        <w:jc w:val="center"/>
      </w:pPr>
      <w:r>
        <w:rPr>
          <w:color w:val="6B7280"/>
          <w:sz w:val="22"/>
          <w:szCs w:val="22"/>
        </w:rPr>
        <w:t>Prepared for Xerxes Shelley</w:t>
      </w:r>
    </w:p>
    <w:p w14:paraId="287D8EA5" w14:textId="77777777" w:rsidR="00F40872" w:rsidRDefault="00E21286">
      <w:pPr>
        <w:spacing w:after="80"/>
        <w:jc w:val="center"/>
      </w:pPr>
      <w:r>
        <w:rPr>
          <w:color w:val="6B7280"/>
          <w:sz w:val="22"/>
          <w:szCs w:val="22"/>
        </w:rPr>
        <w:t>March 23, 2026</w:t>
      </w:r>
    </w:p>
    <w:p w14:paraId="73D60B5B" w14:textId="77777777" w:rsidR="00F40872" w:rsidRDefault="00E21286">
      <w:r>
        <w:br w:type="page"/>
      </w:r>
    </w:p>
    <w:p w14:paraId="757EA3D5" w14:textId="77777777" w:rsidR="00F40872" w:rsidRDefault="00E21286">
      <w:pPr>
        <w:pStyle w:val="Heading1"/>
      </w:pPr>
      <w:r>
        <w:lastRenderedPageBreak/>
        <w:t>Executive Summary</w:t>
      </w:r>
    </w:p>
    <w:p w14:paraId="1660134C" w14:textId="77777777" w:rsidR="00F40872" w:rsidRDefault="00E21286">
      <w:pPr>
        <w:spacing w:after="120" w:line="276" w:lineRule="auto"/>
      </w:pPr>
      <w:r>
        <w:rPr>
          <w:color w:val="1F2937"/>
        </w:rPr>
        <w:t>This document reviews the MarkFlow specification for technical feasibility, architectural soundness, and implementation risk. The spec is thorough and well-structured, with clear phasing, a solid persistence layer, and thoughtful debug infrastructure. That said, several areas need attention before building begins.</w:t>
      </w:r>
    </w:p>
    <w:p w14:paraId="7ED11A41" w14:textId="77777777" w:rsidR="00F40872" w:rsidRDefault="00E21286">
      <w:pPr>
        <w:spacing w:after="120" w:line="276" w:lineRule="auto"/>
      </w:pPr>
      <w:r>
        <w:rPr>
          <w:color w:val="1F2937"/>
        </w:rPr>
        <w:t>The review is organized into three categories: critical issues that will block progress or cause rework if not addressed, moderate concerns that affect quality or maintainability, and suggestions that would improve the final product.</w:t>
      </w:r>
    </w:p>
    <w:p w14:paraId="36E9330A" w14:textId="77777777" w:rsidR="00F40872" w:rsidRDefault="00F40872">
      <w:pPr>
        <w:spacing w:before="200"/>
      </w:pPr>
    </w:p>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37BC0" w14:paraId="61B36B52" w14:textId="77777777">
        <w:tc>
          <w:tcPr>
            <w:tcW w:w="3120" w:type="dxa"/>
            <w:shd w:val="clear" w:color="auto" w:fill="FEF2F2"/>
            <w:tcMar>
              <w:top w:w="100" w:type="dxa"/>
              <w:left w:w="120" w:type="dxa"/>
              <w:bottom w:w="100" w:type="dxa"/>
              <w:right w:w="120" w:type="dxa"/>
            </w:tcMar>
          </w:tcPr>
          <w:p w14:paraId="2B57D130" w14:textId="77777777" w:rsidR="00F40872" w:rsidRDefault="00E21286">
            <w:pPr>
              <w:jc w:val="center"/>
            </w:pPr>
            <w:r>
              <w:rPr>
                <w:b/>
                <w:bCs/>
                <w:color w:val="DC2626"/>
                <w:sz w:val="24"/>
                <w:szCs w:val="24"/>
              </w:rPr>
              <w:t>6 Critical</w:t>
            </w:r>
          </w:p>
        </w:tc>
        <w:tc>
          <w:tcPr>
            <w:tcW w:w="3120" w:type="dxa"/>
            <w:shd w:val="clear" w:color="auto" w:fill="FFFBEB"/>
            <w:tcMar>
              <w:top w:w="100" w:type="dxa"/>
              <w:left w:w="120" w:type="dxa"/>
              <w:bottom w:w="100" w:type="dxa"/>
              <w:right w:w="120" w:type="dxa"/>
            </w:tcMar>
          </w:tcPr>
          <w:p w14:paraId="6300EE02" w14:textId="77777777" w:rsidR="00F40872" w:rsidRDefault="00E21286">
            <w:pPr>
              <w:jc w:val="center"/>
            </w:pPr>
            <w:r>
              <w:rPr>
                <w:b/>
                <w:bCs/>
                <w:color w:val="D97706"/>
                <w:sz w:val="24"/>
                <w:szCs w:val="24"/>
              </w:rPr>
              <w:t>5 Moderate</w:t>
            </w:r>
          </w:p>
        </w:tc>
        <w:tc>
          <w:tcPr>
            <w:tcW w:w="3120" w:type="dxa"/>
            <w:shd w:val="clear" w:color="auto" w:fill="F0FDF4"/>
            <w:tcMar>
              <w:top w:w="100" w:type="dxa"/>
              <w:left w:w="120" w:type="dxa"/>
              <w:bottom w:w="100" w:type="dxa"/>
              <w:right w:w="120" w:type="dxa"/>
            </w:tcMar>
          </w:tcPr>
          <w:p w14:paraId="35B7BF2F" w14:textId="77777777" w:rsidR="00F40872" w:rsidRDefault="00E21286">
            <w:pPr>
              <w:jc w:val="center"/>
            </w:pPr>
            <w:r>
              <w:rPr>
                <w:b/>
                <w:bCs/>
                <w:color w:val="16A34A"/>
                <w:sz w:val="24"/>
                <w:szCs w:val="24"/>
              </w:rPr>
              <w:t>6 Suggestions</w:t>
            </w:r>
          </w:p>
        </w:tc>
      </w:tr>
    </w:tbl>
    <w:p w14:paraId="39D7A135" w14:textId="77777777" w:rsidR="00F40872" w:rsidRDefault="00E21286">
      <w:r>
        <w:br w:type="page"/>
      </w:r>
    </w:p>
    <w:p w14:paraId="2050501D" w14:textId="77777777" w:rsidR="00F40872" w:rsidRDefault="00E21286">
      <w:pPr>
        <w:pStyle w:val="Heading1"/>
      </w:pPr>
      <w:r>
        <w:t>Critical Issues</w:t>
      </w:r>
    </w:p>
    <w:p w14:paraId="441E248E" w14:textId="77777777" w:rsidR="00F40872" w:rsidRDefault="00E21286">
      <w:pPr>
        <w:spacing w:after="120" w:line="276" w:lineRule="auto"/>
      </w:pPr>
      <w:r>
        <w:rPr>
          <w:color w:val="1F2937"/>
        </w:rPr>
        <w:t>These will cause significant rework, broken functionality, or blocked phases if not resolved before development starts.</w:t>
      </w:r>
    </w:p>
    <w:p w14:paraId="536D2205" w14:textId="77777777" w:rsidR="00F40872" w:rsidRDefault="00F40872">
      <w:pPr>
        <w:spacing w:before="160"/>
      </w:pPr>
    </w:p>
    <w:p w14:paraId="1CBEE9C4" w14:textId="77777777" w:rsidR="00F40872" w:rsidRDefault="00E21286">
      <w:pPr>
        <w:pStyle w:val="Heading2"/>
      </w:pPr>
      <w:r>
        <w:t>C1. Round-Trip Fidelity Is Architecturally Unrealistic Without Pandoc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40872" w14:paraId="1461E31F"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EF2F2"/>
            <w:tcMar>
              <w:top w:w="100" w:type="dxa"/>
              <w:left w:w="120" w:type="dxa"/>
              <w:bottom w:w="100" w:type="dxa"/>
              <w:right w:w="120" w:type="dxa"/>
            </w:tcMar>
            <w:vAlign w:val="center"/>
          </w:tcPr>
          <w:p w14:paraId="631AD6C6" w14:textId="77777777" w:rsidR="00F40872" w:rsidRDefault="00E21286">
            <w:pPr>
              <w:jc w:val="center"/>
            </w:pPr>
            <w:r>
              <w:rPr>
                <w:b/>
                <w:bCs/>
                <w:color w:val="DC2626"/>
                <w:sz w:val="18"/>
                <w:szCs w:val="18"/>
              </w:rPr>
              <w:t>CRITICAL</w:t>
            </w:r>
          </w:p>
        </w:tc>
        <w:tc>
          <w:tcPr>
            <w:tcW w:w="8160"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20" w:type="dxa"/>
            </w:tcMar>
          </w:tcPr>
          <w:p w14:paraId="17AE4A37" w14:textId="77777777" w:rsidR="00F40872" w:rsidRDefault="00E21286">
            <w:r>
              <w:rPr>
                <w:color w:val="1F2937"/>
                <w:sz w:val="20"/>
                <w:szCs w:val="20"/>
              </w:rPr>
              <w:t>Markdown is a lossy format. You cannot reconstruct a pixel-perfect .docx from .md alone.</w:t>
            </w:r>
          </w:p>
        </w:tc>
      </w:tr>
    </w:tbl>
    <w:p w14:paraId="0A52C626" w14:textId="77777777" w:rsidR="00F40872" w:rsidRDefault="00F40872">
      <w:pPr>
        <w:spacing w:before="120"/>
      </w:pPr>
    </w:p>
    <w:p w14:paraId="248867E3" w14:textId="77777777" w:rsidR="00F40872" w:rsidRDefault="00E21286">
      <w:pPr>
        <w:spacing w:after="120" w:line="276" w:lineRule="auto"/>
      </w:pPr>
      <w:r>
        <w:rPr>
          <w:color w:val="1F2937"/>
        </w:rPr>
        <w:t>The spec aims for round-trip fidelity (docx → md → docx) using style sidecar JSON to restore formatting. This is the right instinct, but the approach underestimates how much formatting information is lost when converting to Markdown. Markdown has no concept of font families, paragraph spacing, page margins, column widths, image positioning, or any of the hundreds of formatting properties in a .docx file.</w:t>
      </w:r>
    </w:p>
    <w:p w14:paraId="20063F44" w14:textId="77777777" w:rsidR="00F40872" w:rsidRDefault="00E21286">
      <w:pPr>
        <w:spacing w:after="120" w:line="276" w:lineRule="auto"/>
      </w:pPr>
      <w:r>
        <w:rPr>
          <w:color w:val="1F2937"/>
        </w:rPr>
        <w:t xml:space="preserve">The sidecar JSON approach helps, but it essentially means you're maintaining </w:t>
      </w:r>
      <w:r>
        <w:rPr>
          <w:b/>
          <w:bCs/>
          <w:color w:val="1F2937"/>
        </w:rPr>
        <w:t>two parallel representations</w:t>
      </w:r>
      <w:r>
        <w:rPr>
          <w:color w:val="1F2937"/>
        </w:rPr>
        <w:t xml:space="preserve"> of the document: the Markdown content and the JSON styling. At that point, the Markdown becomes a thin content layer and the JSON carries all the real document structure. This is fragile—any edit to the Markdown (adding a paragraph, reordering sections, merging table cells) can desync the sidecar.</w:t>
      </w:r>
    </w:p>
    <w:p w14:paraId="2AB5D857" w14:textId="77777777" w:rsidR="00F40872" w:rsidRDefault="00E21286">
      <w:pPr>
        <w:spacing w:before="200" w:after="120"/>
      </w:pPr>
      <w:r>
        <w:rPr>
          <w:b/>
          <w:bCs/>
          <w:color w:val="1F2937"/>
          <w:sz w:val="22"/>
          <w:szCs w:val="22"/>
        </w:rPr>
        <w:t>Recommendation</w:t>
      </w:r>
    </w:p>
    <w:p w14:paraId="1D3943C5" w14:textId="77777777" w:rsidR="00F40872" w:rsidRDefault="00E21286">
      <w:pPr>
        <w:pStyle w:val="ListParagraph"/>
        <w:numPr>
          <w:ilvl w:val="0"/>
          <w:numId w:val="2"/>
        </w:numPr>
        <w:spacing w:after="80" w:line="276" w:lineRule="auto"/>
      </w:pPr>
      <w:r>
        <w:rPr>
          <w:color w:val="1F2937"/>
        </w:rPr>
        <w:t>Accept that round-trip is "best-effort structural," not pixel-perfect. Define explicit fidelity tiers: Tier 1 (headings, paragraphs, lists, tables, images) will survive. Tier 2 (fonts, spacing, colors) will be restored from sidecar when available. Tier 3 (complex layouts, nested tables, text boxes, charts) will fall back to clean defaults.</w:t>
      </w:r>
    </w:p>
    <w:p w14:paraId="38E99EF4" w14:textId="77777777" w:rsidR="00F40872" w:rsidRDefault="00E21286">
      <w:pPr>
        <w:pStyle w:val="ListParagraph"/>
        <w:numPr>
          <w:ilvl w:val="0"/>
          <w:numId w:val="2"/>
        </w:numPr>
        <w:spacing w:after="80" w:line="276" w:lineRule="auto"/>
      </w:pPr>
      <w:r>
        <w:rPr>
          <w:color w:val="1F2937"/>
        </w:rPr>
        <w:t>Use content-addressable anchoring for sidecar data: hash-based matching of paragraphs/tables to their style metadata, so minor Markdown edits don't invalidate the entire sidecar.</w:t>
      </w:r>
    </w:p>
    <w:p w14:paraId="7583CDEE" w14:textId="77777777" w:rsidR="00F40872" w:rsidRDefault="00E21286">
      <w:pPr>
        <w:pStyle w:val="ListParagraph"/>
        <w:numPr>
          <w:ilvl w:val="0"/>
          <w:numId w:val="2"/>
        </w:numPr>
        <w:spacing w:after="80" w:line="276" w:lineRule="auto"/>
      </w:pPr>
      <w:r>
        <w:rPr>
          <w:color w:val="1F2937"/>
        </w:rPr>
        <w:t>Consider storing a lightly-modified original .docx alongside the Markdown, and applying Markdown-driven changes as patches. This gives much better fidelity than full reconstruction.</w:t>
      </w:r>
    </w:p>
    <w:p w14:paraId="5C8014C0" w14:textId="77777777" w:rsidR="00F40872" w:rsidRDefault="00F40872">
      <w:pPr>
        <w:spacing w:before="200"/>
      </w:pPr>
    </w:p>
    <w:p w14:paraId="38A8FC2B" w14:textId="77777777" w:rsidR="00F40872" w:rsidRDefault="00E21286">
      <w:pPr>
        <w:pStyle w:val="Heading2"/>
      </w:pPr>
      <w:r>
        <w:t>C2. Mammoth's Markdown Output Is Deprecated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40872" w14:paraId="4683680F"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EF2F2"/>
            <w:tcMar>
              <w:top w:w="100" w:type="dxa"/>
              <w:left w:w="120" w:type="dxa"/>
              <w:bottom w:w="100" w:type="dxa"/>
              <w:right w:w="120" w:type="dxa"/>
            </w:tcMar>
            <w:vAlign w:val="center"/>
          </w:tcPr>
          <w:p w14:paraId="45DEBF1C" w14:textId="77777777" w:rsidR="00F40872" w:rsidRDefault="00E21286">
            <w:pPr>
              <w:jc w:val="center"/>
            </w:pPr>
            <w:r>
              <w:rPr>
                <w:b/>
                <w:bCs/>
                <w:color w:val="DC2626"/>
                <w:sz w:val="18"/>
                <w:szCs w:val="18"/>
              </w:rPr>
              <w:t>CRITICAL</w:t>
            </w:r>
          </w:p>
        </w:tc>
        <w:tc>
          <w:tcPr>
            <w:tcW w:w="8160"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20" w:type="dxa"/>
            </w:tcMar>
          </w:tcPr>
          <w:p w14:paraId="0D566593" w14:textId="77777777" w:rsidR="00F40872" w:rsidRDefault="00E21286">
            <w:r>
              <w:rPr>
                <w:color w:val="1F2937"/>
                <w:sz w:val="20"/>
                <w:szCs w:val="20"/>
              </w:rPr>
              <w:t>Mammoth's direct Markdown support is deprecated. The maintainer recommends HTML intermediate.</w:t>
            </w:r>
          </w:p>
        </w:tc>
      </w:tr>
    </w:tbl>
    <w:p w14:paraId="3A3BCF02" w14:textId="77777777" w:rsidR="00F40872" w:rsidRDefault="00F40872">
      <w:pPr>
        <w:spacing w:before="120"/>
      </w:pPr>
    </w:p>
    <w:p w14:paraId="2381451D" w14:textId="77777777" w:rsidR="00F40872" w:rsidRDefault="00E21286">
      <w:pPr>
        <w:spacing w:after="120" w:line="276" w:lineRule="auto"/>
      </w:pPr>
      <w:r>
        <w:rPr>
          <w:color w:val="1F2937"/>
        </w:rPr>
        <w:t>The spec lists mammoth as a primary library for .docx → .md conversion. However, mammoth's Markdown generation is officially deprecated. The maintainer recommends converting to HTML first and then using a separate HTML-to-Markdown library. Additionally, mammoth has known issues with table formatting (borders ignored), text boxes (treated as separate paragraphs), and adjacent lists (incorrectly merged).</w:t>
      </w:r>
    </w:p>
    <w:p w14:paraId="314524A8" w14:textId="77777777" w:rsidR="00F40872" w:rsidRDefault="00E21286">
      <w:pPr>
        <w:spacing w:before="200" w:after="120"/>
      </w:pPr>
      <w:r>
        <w:rPr>
          <w:b/>
          <w:bCs/>
          <w:color w:val="1F2937"/>
          <w:sz w:val="22"/>
          <w:szCs w:val="22"/>
        </w:rPr>
        <w:t>Recommendation</w:t>
      </w:r>
    </w:p>
    <w:p w14:paraId="449C0092" w14:textId="77777777" w:rsidR="00F40872" w:rsidRDefault="00E21286">
      <w:pPr>
        <w:pStyle w:val="ListParagraph"/>
        <w:numPr>
          <w:ilvl w:val="0"/>
          <w:numId w:val="2"/>
        </w:numPr>
        <w:spacing w:after="80" w:line="276" w:lineRule="auto"/>
      </w:pPr>
      <w:r>
        <w:rPr>
          <w:color w:val="1F2937"/>
        </w:rPr>
        <w:t>Use mammoth for docx → HTML, then markdownify or html2text for HTML → Markdown. This is the recommended pipeline.</w:t>
      </w:r>
    </w:p>
    <w:p w14:paraId="2FCEBC14" w14:textId="77777777" w:rsidR="00F40872" w:rsidRDefault="00E21286">
      <w:pPr>
        <w:pStyle w:val="ListParagraph"/>
        <w:numPr>
          <w:ilvl w:val="0"/>
          <w:numId w:val="2"/>
        </w:numPr>
        <w:spacing w:after="80" w:line="276" w:lineRule="auto"/>
      </w:pPr>
      <w:r>
        <w:rPr>
          <w:color w:val="1F2937"/>
        </w:rPr>
        <w:t>Alternatively, consider using python-docx directly for extraction (you need it anyway for style metadata), and write a custom docx-to-markdown renderer. This gives you full control over the conversion and keeps the style extraction in the same pass.</w:t>
      </w:r>
    </w:p>
    <w:p w14:paraId="29121958" w14:textId="77777777" w:rsidR="00F40872" w:rsidRDefault="00E21286">
      <w:pPr>
        <w:pStyle w:val="ListParagraph"/>
        <w:numPr>
          <w:ilvl w:val="0"/>
          <w:numId w:val="2"/>
        </w:numPr>
        <w:spacing w:after="80" w:line="276" w:lineRule="auto"/>
      </w:pPr>
      <w:r>
        <w:rPr>
          <w:color w:val="1F2937"/>
        </w:rPr>
        <w:t>If you use python-docx for both extraction and reconstruction, you avoid the library mismatch problem entirely.</w:t>
      </w:r>
    </w:p>
    <w:p w14:paraId="366302C9" w14:textId="77777777" w:rsidR="00F40872" w:rsidRDefault="00F40872">
      <w:pPr>
        <w:spacing w:before="200"/>
      </w:pPr>
    </w:p>
    <w:p w14:paraId="0F6EAD3E" w14:textId="77777777" w:rsidR="00F40872" w:rsidRDefault="00E21286">
      <w:pPr>
        <w:pStyle w:val="Heading2"/>
      </w:pPr>
      <w:r>
        <w:t>C3. WeasyPrint Has Heavy System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40872" w14:paraId="630B1AB0"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EF2F2"/>
            <w:tcMar>
              <w:top w:w="100" w:type="dxa"/>
              <w:left w:w="120" w:type="dxa"/>
              <w:bottom w:w="100" w:type="dxa"/>
              <w:right w:w="120" w:type="dxa"/>
            </w:tcMar>
            <w:vAlign w:val="center"/>
          </w:tcPr>
          <w:p w14:paraId="23F8DD4C" w14:textId="77777777" w:rsidR="00F40872" w:rsidRDefault="00E21286">
            <w:pPr>
              <w:jc w:val="center"/>
            </w:pPr>
            <w:r>
              <w:rPr>
                <w:b/>
                <w:bCs/>
                <w:color w:val="DC2626"/>
                <w:sz w:val="18"/>
                <w:szCs w:val="18"/>
              </w:rPr>
              <w:t>CRITICAL</w:t>
            </w:r>
          </w:p>
        </w:tc>
        <w:tc>
          <w:tcPr>
            <w:tcW w:w="8160"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20" w:type="dxa"/>
            </w:tcMar>
          </w:tcPr>
          <w:p w14:paraId="1D4E61D0" w14:textId="77777777" w:rsidR="00F40872" w:rsidRDefault="00E21286">
            <w:r>
              <w:rPr>
                <w:color w:val="1F2937"/>
                <w:sz w:val="20"/>
                <w:szCs w:val="20"/>
              </w:rPr>
              <w:t>WeasyPrint requires Pango, Cairo, GDK-PixBuf, and HarfBuzz—non-trivial to install on all platforms.</w:t>
            </w:r>
          </w:p>
        </w:tc>
      </w:tr>
    </w:tbl>
    <w:p w14:paraId="3C0BBFA2" w14:textId="77777777" w:rsidR="00F40872" w:rsidRDefault="00F40872">
      <w:pPr>
        <w:spacing w:before="120"/>
      </w:pPr>
    </w:p>
    <w:p w14:paraId="29C380B2" w14:textId="77777777" w:rsidR="00F40872" w:rsidRDefault="00E21286">
      <w:pPr>
        <w:spacing w:after="120" w:line="276" w:lineRule="auto"/>
      </w:pPr>
      <w:r>
        <w:rPr>
          <w:color w:val="1F2937"/>
        </w:rPr>
        <w:t>The spec lists weasyprint as the PDF export library (Markdown → styled HTML → PDF). WeasyPrint produces excellent output, but it requires libpango, libcairo, libgdk-pixbuf, libharfbuzz, and libffi as system-level dependencies. This creates installation friction on Windows, macOS (without Homebrew), and minimal Linux containers. It's a common source of Docker build failures and deployment issues.</w:t>
      </w:r>
    </w:p>
    <w:p w14:paraId="4C2CF425" w14:textId="77777777" w:rsidR="00F40872" w:rsidRDefault="00E21286">
      <w:pPr>
        <w:spacing w:before="200" w:after="120"/>
      </w:pPr>
      <w:r>
        <w:rPr>
          <w:b/>
          <w:bCs/>
          <w:color w:val="1F2937"/>
          <w:sz w:val="22"/>
          <w:szCs w:val="22"/>
        </w:rPr>
        <w:t>Recommendation</w:t>
      </w:r>
    </w:p>
    <w:p w14:paraId="739F1438" w14:textId="77777777" w:rsidR="00F40872" w:rsidRDefault="00E21286">
      <w:pPr>
        <w:pStyle w:val="ListParagraph"/>
        <w:numPr>
          <w:ilvl w:val="0"/>
          <w:numId w:val="2"/>
        </w:numPr>
        <w:spacing w:after="80" w:line="276" w:lineRule="auto"/>
      </w:pPr>
      <w:r>
        <w:rPr>
          <w:color w:val="1F2937"/>
        </w:rPr>
        <w:t>Keep WeasyPrint as the primary choice for PDF quality, but document the system dependencies explicitly in the README and provide a Dockerfile.</w:t>
      </w:r>
    </w:p>
    <w:p w14:paraId="38D78DF3" w14:textId="77777777" w:rsidR="00F40872" w:rsidRDefault="00E21286">
      <w:pPr>
        <w:pStyle w:val="ListParagraph"/>
        <w:numPr>
          <w:ilvl w:val="0"/>
          <w:numId w:val="2"/>
        </w:numPr>
        <w:spacing w:after="80" w:line="276" w:lineRule="auto"/>
      </w:pPr>
      <w:r>
        <w:rPr>
          <w:color w:val="1F2937"/>
        </w:rPr>
        <w:t>Add fpdf2 as a fallback for environments where WeasyPrint can't be installed. fpdf2 is pure Python with zero system dependencies. The output won't be as polished, but it's functional.</w:t>
      </w:r>
    </w:p>
    <w:p w14:paraId="406D6271" w14:textId="77777777" w:rsidR="00F40872" w:rsidRDefault="00E21286">
      <w:pPr>
        <w:pStyle w:val="ListParagraph"/>
        <w:numPr>
          <w:ilvl w:val="0"/>
          <w:numId w:val="2"/>
        </w:numPr>
        <w:spacing w:after="80" w:line="276" w:lineRule="auto"/>
      </w:pPr>
      <w:r>
        <w:rPr>
          <w:color w:val="1F2937"/>
        </w:rPr>
        <w:t>Add a startup check that verifies WeasyPrint is importable and falls back gracefully with a clear warning.</w:t>
      </w:r>
    </w:p>
    <w:p w14:paraId="3F66679C" w14:textId="77777777" w:rsidR="00F40872" w:rsidRDefault="00F40872">
      <w:pPr>
        <w:spacing w:before="200"/>
      </w:pPr>
    </w:p>
    <w:p w14:paraId="56A1AE5A" w14:textId="77777777" w:rsidR="00F40872" w:rsidRDefault="00E21286">
      <w:pPr>
        <w:pStyle w:val="Heading2"/>
      </w:pPr>
      <w:r>
        <w:t>C4. No Concurrency Model for Batch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40872" w14:paraId="64C9C715"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EF2F2"/>
            <w:tcMar>
              <w:top w:w="100" w:type="dxa"/>
              <w:left w:w="120" w:type="dxa"/>
              <w:bottom w:w="100" w:type="dxa"/>
              <w:right w:w="120" w:type="dxa"/>
            </w:tcMar>
            <w:vAlign w:val="center"/>
          </w:tcPr>
          <w:p w14:paraId="13AA9501" w14:textId="77777777" w:rsidR="00F40872" w:rsidRDefault="00E21286">
            <w:pPr>
              <w:jc w:val="center"/>
            </w:pPr>
            <w:r>
              <w:rPr>
                <w:b/>
                <w:bCs/>
                <w:color w:val="DC2626"/>
                <w:sz w:val="18"/>
                <w:szCs w:val="18"/>
              </w:rPr>
              <w:t>CRITICAL</w:t>
            </w:r>
          </w:p>
        </w:tc>
        <w:tc>
          <w:tcPr>
            <w:tcW w:w="8160"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20" w:type="dxa"/>
            </w:tcMar>
          </w:tcPr>
          <w:p w14:paraId="122306D5" w14:textId="77777777" w:rsidR="00F40872" w:rsidRDefault="00E21286">
            <w:r>
              <w:rPr>
                <w:color w:val="1F2937"/>
                <w:sz w:val="20"/>
                <w:szCs w:val="20"/>
              </w:rPr>
              <w:t>The spec says "asyncio" for task queue but doesn't define how concurrent conversions work.</w:t>
            </w:r>
          </w:p>
        </w:tc>
      </w:tr>
    </w:tbl>
    <w:p w14:paraId="2BE76931" w14:textId="77777777" w:rsidR="00F40872" w:rsidRDefault="00F40872">
      <w:pPr>
        <w:spacing w:before="120"/>
      </w:pPr>
    </w:p>
    <w:p w14:paraId="67BB3A3D" w14:textId="77777777" w:rsidR="00F40872" w:rsidRDefault="00E21286">
      <w:pPr>
        <w:spacing w:after="120" w:line="276" w:lineRule="auto"/>
      </w:pPr>
      <w:r>
        <w:rPr>
          <w:color w:val="1F2937"/>
        </w:rPr>
        <w:t>FastAPI is async, but the actual conversion work (python-docx, pdfplumber, Tesseract OCR) is CPU-bound and blocking. Running blocking code in an async event loop will freeze the entire server during conversions. The spec mentions BackgroundTasks but doesn't address this.</w:t>
      </w:r>
    </w:p>
    <w:p w14:paraId="14B63444" w14:textId="77777777" w:rsidR="00F40872" w:rsidRDefault="00E21286">
      <w:pPr>
        <w:spacing w:before="200" w:after="120"/>
      </w:pPr>
      <w:r>
        <w:rPr>
          <w:b/>
          <w:bCs/>
          <w:color w:val="1F2937"/>
          <w:sz w:val="22"/>
          <w:szCs w:val="22"/>
        </w:rPr>
        <w:t>Recommendation</w:t>
      </w:r>
    </w:p>
    <w:p w14:paraId="2CFFE314" w14:textId="77777777" w:rsidR="00F40872" w:rsidRDefault="00E21286">
      <w:pPr>
        <w:pStyle w:val="ListParagraph"/>
        <w:numPr>
          <w:ilvl w:val="0"/>
          <w:numId w:val="2"/>
        </w:numPr>
        <w:spacing w:after="80" w:line="276" w:lineRule="auto"/>
      </w:pPr>
      <w:r>
        <w:rPr>
          <w:color w:val="1F2937"/>
        </w:rPr>
        <w:t>Use asyncio.to_thread() or a ProcessPoolExecutor for CPU-bound conversion work. This keeps the event loop responsive while conversions run in separate threads/processes.</w:t>
      </w:r>
    </w:p>
    <w:p w14:paraId="6FB74FF4" w14:textId="77777777" w:rsidR="00F40872" w:rsidRDefault="00E21286">
      <w:pPr>
        <w:pStyle w:val="ListParagraph"/>
        <w:numPr>
          <w:ilvl w:val="0"/>
          <w:numId w:val="2"/>
        </w:numPr>
        <w:spacing w:after="80" w:line="276" w:lineRule="auto"/>
      </w:pPr>
      <w:r>
        <w:rPr>
          <w:color w:val="1F2937"/>
        </w:rPr>
        <w:t>Define a max concurrency limit (e.g., 3 concurrent conversions) to prevent memory exhaustion, especially with OCR.</w:t>
      </w:r>
    </w:p>
    <w:p w14:paraId="66832DBD" w14:textId="77777777" w:rsidR="00F40872" w:rsidRDefault="00E21286">
      <w:pPr>
        <w:pStyle w:val="ListParagraph"/>
        <w:numPr>
          <w:ilvl w:val="0"/>
          <w:numId w:val="2"/>
        </w:numPr>
        <w:spacing w:after="80" w:line="276" w:lineRule="auto"/>
      </w:pPr>
      <w:r>
        <w:rPr>
          <w:color w:val="1F2937"/>
        </w:rPr>
        <w:t>Store batch state in SQLite so the server can crash and recover mid-batch without losing completed work. The spec's per-file history recording already supports this—just make sure the batch status endpoint reads from SQLite, not in-memory state.</w:t>
      </w:r>
    </w:p>
    <w:p w14:paraId="517E8D4A" w14:textId="77777777" w:rsidR="00F40872" w:rsidRDefault="00F40872">
      <w:pPr>
        <w:spacing w:before="200"/>
      </w:pPr>
    </w:p>
    <w:p w14:paraId="7EFF43B8" w14:textId="77777777" w:rsidR="00F40872" w:rsidRDefault="00E21286">
      <w:pPr>
        <w:pStyle w:val="Heading2"/>
      </w:pPr>
      <w:r>
        <w:t>C5. PDF OCR Detection Heuristic Is Underspecified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40872" w14:paraId="31B02A72"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EF2F2"/>
            <w:tcMar>
              <w:top w:w="100" w:type="dxa"/>
              <w:left w:w="120" w:type="dxa"/>
              <w:bottom w:w="100" w:type="dxa"/>
              <w:right w:w="120" w:type="dxa"/>
            </w:tcMar>
            <w:vAlign w:val="center"/>
          </w:tcPr>
          <w:p w14:paraId="21D5E301" w14:textId="77777777" w:rsidR="00F40872" w:rsidRDefault="00E21286">
            <w:pPr>
              <w:jc w:val="center"/>
            </w:pPr>
            <w:r>
              <w:rPr>
                <w:b/>
                <w:bCs/>
                <w:color w:val="DC2626"/>
                <w:sz w:val="18"/>
                <w:szCs w:val="18"/>
              </w:rPr>
              <w:t>CRITICAL</w:t>
            </w:r>
          </w:p>
        </w:tc>
        <w:tc>
          <w:tcPr>
            <w:tcW w:w="8160"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20" w:type="dxa"/>
            </w:tcMar>
          </w:tcPr>
          <w:p w14:paraId="25726C44" w14:textId="77777777" w:rsidR="00F40872" w:rsidRDefault="00E21286">
            <w:r>
              <w:rPr>
                <w:color w:val="1F2937"/>
                <w:sz w:val="20"/>
                <w:szCs w:val="20"/>
              </w:rPr>
              <w:t>"Empty/minimal text layer" is not a reliable OCR trigger—many PDFs have garbage text layers.</w:t>
            </w:r>
          </w:p>
        </w:tc>
      </w:tr>
    </w:tbl>
    <w:p w14:paraId="4E5924AA" w14:textId="77777777" w:rsidR="00F40872" w:rsidRDefault="00F40872">
      <w:pPr>
        <w:spacing w:before="120"/>
      </w:pPr>
    </w:p>
    <w:p w14:paraId="4CE07203" w14:textId="77777777" w:rsidR="00F40872" w:rsidRDefault="00E21286">
      <w:pPr>
        <w:spacing w:after="120" w:line="276" w:lineRule="auto"/>
      </w:pPr>
      <w:r>
        <w:rPr>
          <w:color w:val="1F2937"/>
        </w:rPr>
        <w:t>The spec says to check each PDF page for extractable text and OCR pages with "empty/minimal" text. But many scanned PDFs have invisible or garbage text layers from previous OCR passes, and some text-based PDFs have minimal text (e.g., a title page). A simple text-length check will misclassify both cases.</w:t>
      </w:r>
    </w:p>
    <w:p w14:paraId="5982B847" w14:textId="77777777" w:rsidR="00F40872" w:rsidRDefault="00E21286">
      <w:pPr>
        <w:spacing w:before="200" w:after="120"/>
      </w:pPr>
      <w:r>
        <w:rPr>
          <w:b/>
          <w:bCs/>
          <w:color w:val="1F2937"/>
          <w:sz w:val="22"/>
          <w:szCs w:val="22"/>
        </w:rPr>
        <w:t>Recommendation</w:t>
      </w:r>
    </w:p>
    <w:p w14:paraId="06E457CF" w14:textId="77777777" w:rsidR="00F40872" w:rsidRDefault="00E21286">
      <w:pPr>
        <w:pStyle w:val="ListParagraph"/>
        <w:numPr>
          <w:ilvl w:val="0"/>
          <w:numId w:val="2"/>
        </w:numPr>
        <w:spacing w:after="80" w:line="276" w:lineRule="auto"/>
      </w:pPr>
      <w:r>
        <w:rPr>
          <w:color w:val="1F2937"/>
        </w:rPr>
        <w:t>Use a multi-signal heuristic: (1) text length per page area ratio, (2) character encoding consistency (garbage OCR produces unusual Unicode distributions), (3) whether text positions align with visible content, (4) presence of embedded fonts vs. no fonts.</w:t>
      </w:r>
    </w:p>
    <w:p w14:paraId="010955C7" w14:textId="77777777" w:rsidR="00F40872" w:rsidRDefault="00E21286">
      <w:pPr>
        <w:pStyle w:val="ListParagraph"/>
        <w:numPr>
          <w:ilvl w:val="0"/>
          <w:numId w:val="2"/>
        </w:numPr>
        <w:spacing w:after="80" w:line="276" w:lineRule="auto"/>
      </w:pPr>
      <w:r>
        <w:rPr>
          <w:color w:val="1F2937"/>
        </w:rPr>
        <w:t>Consider using pdfplumber's character-level data to check if extracted characters have proper bounding boxes and are not all stacked at (0,0).</w:t>
      </w:r>
    </w:p>
    <w:p w14:paraId="5E2C61E6" w14:textId="77777777" w:rsidR="00F40872" w:rsidRDefault="00E21286">
      <w:pPr>
        <w:pStyle w:val="ListParagraph"/>
        <w:numPr>
          <w:ilvl w:val="0"/>
          <w:numId w:val="2"/>
        </w:numPr>
        <w:spacing w:after="80" w:line="276" w:lineRule="auto"/>
      </w:pPr>
      <w:r>
        <w:rPr>
          <w:color w:val="1F2937"/>
        </w:rPr>
        <w:t>Add a force-OCR flag per file for users who know their PDF needs OCR regardless of the heuristic.</w:t>
      </w:r>
    </w:p>
    <w:p w14:paraId="67B48DA5" w14:textId="77777777" w:rsidR="00F40872" w:rsidRDefault="00F40872">
      <w:pPr>
        <w:spacing w:before="200"/>
      </w:pPr>
    </w:p>
    <w:p w14:paraId="14AAD720" w14:textId="77777777" w:rsidR="00F40872" w:rsidRDefault="00E21286">
      <w:pPr>
        <w:pStyle w:val="Heading2"/>
      </w:pPr>
      <w:r>
        <w:t>C6. Consider PyMuPDF Over pdfplumber for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40872" w14:paraId="1D7AB791"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EF2F2"/>
            <w:tcMar>
              <w:top w:w="100" w:type="dxa"/>
              <w:left w:w="120" w:type="dxa"/>
              <w:bottom w:w="100" w:type="dxa"/>
              <w:right w:w="120" w:type="dxa"/>
            </w:tcMar>
            <w:vAlign w:val="center"/>
          </w:tcPr>
          <w:p w14:paraId="790B947A" w14:textId="77777777" w:rsidR="00F40872" w:rsidRDefault="00E21286">
            <w:pPr>
              <w:jc w:val="center"/>
            </w:pPr>
            <w:r>
              <w:rPr>
                <w:b/>
                <w:bCs/>
                <w:color w:val="DC2626"/>
                <w:sz w:val="18"/>
                <w:szCs w:val="18"/>
              </w:rPr>
              <w:t>CRITICAL</w:t>
            </w:r>
          </w:p>
        </w:tc>
        <w:tc>
          <w:tcPr>
            <w:tcW w:w="8160"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20" w:type="dxa"/>
            </w:tcMar>
          </w:tcPr>
          <w:p w14:paraId="4C4C12D1" w14:textId="77777777" w:rsidR="00F40872" w:rsidRDefault="00E21286">
            <w:r>
              <w:rPr>
                <w:color w:val="1F2937"/>
                <w:sz w:val="20"/>
                <w:szCs w:val="20"/>
              </w:rPr>
              <w:t>pdfplumber is built on pdfminer.six, which is 50-60x slower than PyMuPDF for text extraction.</w:t>
            </w:r>
          </w:p>
        </w:tc>
      </w:tr>
    </w:tbl>
    <w:p w14:paraId="07E0EEC6" w14:textId="77777777" w:rsidR="00F40872" w:rsidRDefault="00F40872">
      <w:pPr>
        <w:spacing w:before="120"/>
      </w:pPr>
    </w:p>
    <w:p w14:paraId="5B34E524" w14:textId="77777777" w:rsidR="00F40872" w:rsidRDefault="00E21286">
      <w:pPr>
        <w:spacing w:after="120" w:line="276" w:lineRule="auto"/>
      </w:pPr>
      <w:r>
        <w:rPr>
          <w:color w:val="1F2937"/>
        </w:rPr>
        <w:t>Benchmarks consistently show PyMuPDF processing PDFs in ~42ms vs. pdfminer.six (pdfplumber's engine) taking ~2.5 seconds for the same document. For batch processing of multi-page PDFs, this difference compounds significantly. pdfplumber's strength is table extraction, but PyMuPDF has improved table support in recent releases.</w:t>
      </w:r>
    </w:p>
    <w:p w14:paraId="17476D4C" w14:textId="77777777" w:rsidR="00F40872" w:rsidRDefault="00E21286">
      <w:pPr>
        <w:spacing w:before="200" w:after="120"/>
      </w:pPr>
      <w:r>
        <w:rPr>
          <w:b/>
          <w:bCs/>
          <w:color w:val="1F2937"/>
          <w:sz w:val="22"/>
          <w:szCs w:val="22"/>
        </w:rPr>
        <w:t>Recommendation</w:t>
      </w:r>
    </w:p>
    <w:p w14:paraId="2A38C092" w14:textId="77777777" w:rsidR="00F40872" w:rsidRDefault="00E21286">
      <w:pPr>
        <w:pStyle w:val="ListParagraph"/>
        <w:numPr>
          <w:ilvl w:val="0"/>
          <w:numId w:val="2"/>
        </w:numPr>
        <w:spacing w:after="80" w:line="276" w:lineRule="auto"/>
      </w:pPr>
      <w:r>
        <w:rPr>
          <w:color w:val="1F2937"/>
        </w:rPr>
        <w:t>Use PyMuPDF (fitz) as the primary PDF text extraction library. It's faster, lighter on memory, and handles large documents better.</w:t>
      </w:r>
    </w:p>
    <w:p w14:paraId="5E407136" w14:textId="77777777" w:rsidR="00F40872" w:rsidRDefault="00E21286">
      <w:pPr>
        <w:pStyle w:val="ListParagraph"/>
        <w:numPr>
          <w:ilvl w:val="0"/>
          <w:numId w:val="2"/>
        </w:numPr>
        <w:spacing w:after="80" w:line="276" w:lineRule="auto"/>
      </w:pPr>
      <w:r>
        <w:rPr>
          <w:color w:val="1F2937"/>
        </w:rPr>
        <w:t>Keep pdfplumber available as a fallback specifically for table-heavy PDFs where you need pdfplumber's superior table detection.</w:t>
      </w:r>
    </w:p>
    <w:p w14:paraId="69440C17" w14:textId="77777777" w:rsidR="00F40872" w:rsidRDefault="00E21286">
      <w:pPr>
        <w:pStyle w:val="ListParagraph"/>
        <w:numPr>
          <w:ilvl w:val="0"/>
          <w:numId w:val="2"/>
        </w:numPr>
        <w:spacing w:after="80" w:line="276" w:lineRule="auto"/>
      </w:pPr>
      <w:r>
        <w:rPr>
          <w:color w:val="1F2937"/>
        </w:rPr>
        <w:t>Note: PyMuPDF uses the AGPL license. If licensing is a concern, stick with pdfplumber but plan for longer processing times and add per-page progress reporting.</w:t>
      </w:r>
    </w:p>
    <w:p w14:paraId="7290C8A3" w14:textId="77777777" w:rsidR="00F40872" w:rsidRDefault="00E21286">
      <w:r>
        <w:br w:type="page"/>
      </w:r>
    </w:p>
    <w:p w14:paraId="376DFFD7" w14:textId="77777777" w:rsidR="00F40872" w:rsidRDefault="00E21286">
      <w:pPr>
        <w:pStyle w:val="Heading1"/>
      </w:pPr>
      <w:r>
        <w:t>Moderate Concerns</w:t>
      </w:r>
    </w:p>
    <w:p w14:paraId="11FCA0DE" w14:textId="77777777" w:rsidR="00F40872" w:rsidRDefault="00E21286">
      <w:pPr>
        <w:spacing w:after="120" w:line="276" w:lineRule="auto"/>
      </w:pPr>
      <w:r>
        <w:rPr>
          <w:color w:val="1F2937"/>
        </w:rPr>
        <w:t>These won't block initial development but will affect quality, maintainability, or user experience if not addressed.</w:t>
      </w:r>
    </w:p>
    <w:p w14:paraId="23B41C3F" w14:textId="77777777" w:rsidR="00F40872" w:rsidRDefault="00F40872">
      <w:pPr>
        <w:spacing w:before="160"/>
      </w:pPr>
    </w:p>
    <w:p w14:paraId="4FAC6E2F" w14:textId="77777777" w:rsidR="00F40872" w:rsidRDefault="00E21286">
      <w:pPr>
        <w:pStyle w:val="Heading2"/>
      </w:pPr>
      <w:r>
        <w:t>M1. Image Handling Pipeline Is Underspecified</w:t>
      </w:r>
    </w:p>
    <w:p w14:paraId="250BDDFD" w14:textId="77777777" w:rsidR="00F40872" w:rsidRDefault="00E21286">
      <w:pPr>
        <w:spacing w:after="120" w:line="276" w:lineRule="auto"/>
      </w:pPr>
      <w:r>
        <w:rPr>
          <w:color w:val="1F2937"/>
        </w:rPr>
        <w:t>The spec says "extract images to assets/ subfolder with relative markdown links" but doesn't define: how to name extracted images (hash? sequential? original name?), how to handle duplicate images, what happens to image dimensions and DPI, or how images from different source formats get normalized (PPTX images may be EMF/WMF, which Markdown can't display).</w:t>
      </w:r>
    </w:p>
    <w:p w14:paraId="534FEF60" w14:textId="77777777" w:rsidR="00F40872" w:rsidRDefault="00E21286">
      <w:pPr>
        <w:spacing w:before="200" w:after="120"/>
      </w:pPr>
      <w:r>
        <w:rPr>
          <w:b/>
          <w:bCs/>
          <w:color w:val="1F2937"/>
          <w:sz w:val="22"/>
          <w:szCs w:val="22"/>
        </w:rPr>
        <w:t>Recommendation</w:t>
      </w:r>
    </w:p>
    <w:p w14:paraId="3C9F261E" w14:textId="77777777" w:rsidR="00F40872" w:rsidRDefault="00E21286">
      <w:pPr>
        <w:pStyle w:val="ListParagraph"/>
        <w:numPr>
          <w:ilvl w:val="0"/>
          <w:numId w:val="2"/>
        </w:numPr>
        <w:spacing w:after="80" w:line="276" w:lineRule="auto"/>
      </w:pPr>
      <w:r>
        <w:rPr>
          <w:color w:val="1F2937"/>
        </w:rPr>
        <w:t>Name images with content hash + original extension: e.g., a1b2c3d4.png. This deduplicates automatically.</w:t>
      </w:r>
    </w:p>
    <w:p w14:paraId="40862A7C" w14:textId="77777777" w:rsidR="00F40872" w:rsidRDefault="00E21286">
      <w:pPr>
        <w:pStyle w:val="ListParagraph"/>
        <w:numPr>
          <w:ilvl w:val="0"/>
          <w:numId w:val="2"/>
        </w:numPr>
        <w:spacing w:after="80" w:line="276" w:lineRule="auto"/>
      </w:pPr>
      <w:r>
        <w:rPr>
          <w:color w:val="1F2937"/>
        </w:rPr>
        <w:t>Convert non-web formats (EMF, WMF, TIFF) to PNG during extraction. Store the original format in the style sidecar for round-trip.</w:t>
      </w:r>
    </w:p>
    <w:p w14:paraId="7618ABDD" w14:textId="77777777" w:rsidR="00F40872" w:rsidRDefault="00E21286">
      <w:pPr>
        <w:pStyle w:val="ListParagraph"/>
        <w:numPr>
          <w:ilvl w:val="0"/>
          <w:numId w:val="2"/>
        </w:numPr>
        <w:spacing w:after="80" w:line="276" w:lineRule="auto"/>
      </w:pPr>
      <w:r>
        <w:rPr>
          <w:color w:val="1F2937"/>
        </w:rPr>
        <w:t>Preserve original dimensions in the sidecar and add width/height hints in the Markdown image syntax where supported.</w:t>
      </w:r>
    </w:p>
    <w:p w14:paraId="2B862ECE" w14:textId="77777777" w:rsidR="00F40872" w:rsidRDefault="00F40872">
      <w:pPr>
        <w:spacing w:before="200"/>
      </w:pPr>
    </w:p>
    <w:p w14:paraId="55BE4F81" w14:textId="77777777" w:rsidR="00F40872" w:rsidRDefault="00E21286">
      <w:pPr>
        <w:pStyle w:val="Heading2"/>
      </w:pPr>
      <w:r>
        <w:t>M2. No File Size Limits or Upload Validation</w:t>
      </w:r>
    </w:p>
    <w:p w14:paraId="00FCEA53" w14:textId="77777777" w:rsidR="00F40872" w:rsidRDefault="00E21286">
      <w:pPr>
        <w:spacing w:after="120" w:line="276" w:lineRule="auto"/>
      </w:pPr>
      <w:r>
        <w:rPr>
          <w:color w:val="1F2937"/>
        </w:rPr>
        <w:t>The spec mentions "validate file types" and "don't execute uploaded content" but doesn't define maximum file sizes, what happens when disk space runs low, or how to handle zip bombs (a small .docx that expands to gigabytes of XML). The 50-page PDF streaming note is good but needs to apply to all formats.</w:t>
      </w:r>
    </w:p>
    <w:p w14:paraId="01B61932" w14:textId="77777777" w:rsidR="00F40872" w:rsidRDefault="00E21286">
      <w:pPr>
        <w:spacing w:before="200" w:after="120"/>
      </w:pPr>
      <w:r>
        <w:rPr>
          <w:b/>
          <w:bCs/>
          <w:color w:val="1F2937"/>
          <w:sz w:val="22"/>
          <w:szCs w:val="22"/>
        </w:rPr>
        <w:t>Recommendation</w:t>
      </w:r>
    </w:p>
    <w:p w14:paraId="41F138A1" w14:textId="77777777" w:rsidR="00F40872" w:rsidRDefault="00E21286">
      <w:pPr>
        <w:pStyle w:val="ListParagraph"/>
        <w:numPr>
          <w:ilvl w:val="0"/>
          <w:numId w:val="2"/>
        </w:numPr>
        <w:spacing w:after="80" w:line="276" w:lineRule="auto"/>
      </w:pPr>
      <w:r>
        <w:rPr>
          <w:color w:val="1F2937"/>
        </w:rPr>
        <w:t>Set a configurable max upload size (default 100MB per file, 500MB per batch). Reject larger files at the API level with a clear error.</w:t>
      </w:r>
    </w:p>
    <w:p w14:paraId="5E1656EE" w14:textId="77777777" w:rsidR="00F40872" w:rsidRDefault="00E21286">
      <w:pPr>
        <w:pStyle w:val="ListParagraph"/>
        <w:numPr>
          <w:ilvl w:val="0"/>
          <w:numId w:val="2"/>
        </w:numPr>
        <w:spacing w:after="80" w:line="276" w:lineRule="auto"/>
      </w:pPr>
      <w:r>
        <w:rPr>
          <w:color w:val="1F2937"/>
        </w:rPr>
        <w:t>Add disk space checks before starting conversions. If output/ is on the same volume as the OS, a runaway conversion could fill the disk.</w:t>
      </w:r>
    </w:p>
    <w:p w14:paraId="1A11E345" w14:textId="77777777" w:rsidR="00F40872" w:rsidRDefault="00E21286">
      <w:pPr>
        <w:pStyle w:val="ListParagraph"/>
        <w:numPr>
          <w:ilvl w:val="0"/>
          <w:numId w:val="2"/>
        </w:numPr>
        <w:spacing w:after="80" w:line="276" w:lineRule="auto"/>
      </w:pPr>
      <w:r>
        <w:rPr>
          <w:color w:val="1F2937"/>
        </w:rPr>
        <w:t>Validate zip-based formats (.docx, .pptx, .xlsx) by checking uncompressed size before extraction. Reject files where uncompressed size exceeds 10x the compressed size.</w:t>
      </w:r>
    </w:p>
    <w:p w14:paraId="3B489CBE" w14:textId="77777777" w:rsidR="00F40872" w:rsidRDefault="00F40872">
      <w:pPr>
        <w:spacing w:before="200"/>
      </w:pPr>
    </w:p>
    <w:p w14:paraId="6BB1F438" w14:textId="77777777" w:rsidR="00F40872" w:rsidRDefault="00E21286">
      <w:pPr>
        <w:pStyle w:val="Heading2"/>
      </w:pPr>
      <w:r>
        <w:t>M3. SQLite Concurrent Write Limitations</w:t>
      </w:r>
    </w:p>
    <w:p w14:paraId="24F30853" w14:textId="77777777" w:rsidR="00F40872" w:rsidRDefault="00E21286">
      <w:pPr>
        <w:spacing w:after="120" w:line="276" w:lineRule="auto"/>
      </w:pPr>
      <w:r>
        <w:rPr>
          <w:color w:val="1F2937"/>
        </w:rPr>
        <w:t>SQLite handles concurrent reads well but serializes writes. With batch processing writing per-file records to conversion_history, concurrent batches could hit lock contention. The spec uses aiosqlite, which helps, but SQLite's WAL mode should be explicitly enabled for better concurrent read/write performance.</w:t>
      </w:r>
    </w:p>
    <w:p w14:paraId="1A9314EC" w14:textId="77777777" w:rsidR="00F40872" w:rsidRDefault="00E21286">
      <w:pPr>
        <w:spacing w:before="200" w:after="120"/>
      </w:pPr>
      <w:r>
        <w:rPr>
          <w:b/>
          <w:bCs/>
          <w:color w:val="1F2937"/>
          <w:sz w:val="22"/>
          <w:szCs w:val="22"/>
        </w:rPr>
        <w:t>Recommendation</w:t>
      </w:r>
    </w:p>
    <w:p w14:paraId="17966120" w14:textId="77777777" w:rsidR="00F40872" w:rsidRDefault="00E21286">
      <w:pPr>
        <w:pStyle w:val="ListParagraph"/>
        <w:numPr>
          <w:ilvl w:val="0"/>
          <w:numId w:val="2"/>
        </w:numPr>
        <w:spacing w:after="80" w:line="276" w:lineRule="auto"/>
      </w:pPr>
      <w:r>
        <w:rPr>
          <w:color w:val="1F2937"/>
        </w:rPr>
        <w:t>Enable WAL mode on database initialization: PRAGMA journal_mode=WAL.</w:t>
      </w:r>
    </w:p>
    <w:p w14:paraId="7F18D5B9" w14:textId="77777777" w:rsidR="00F40872" w:rsidRDefault="00E21286">
      <w:pPr>
        <w:pStyle w:val="ListParagraph"/>
        <w:numPr>
          <w:ilvl w:val="0"/>
          <w:numId w:val="2"/>
        </w:numPr>
        <w:spacing w:after="80" w:line="276" w:lineRule="auto"/>
      </w:pPr>
      <w:r>
        <w:rPr>
          <w:color w:val="1F2937"/>
        </w:rPr>
        <w:t>Set a reasonable busy_timeout (e.g., 5 seconds) so writes retry instead of failing immediately.</w:t>
      </w:r>
    </w:p>
    <w:p w14:paraId="76CC16E2" w14:textId="77777777" w:rsidR="00F40872" w:rsidRDefault="00E21286">
      <w:pPr>
        <w:pStyle w:val="ListParagraph"/>
        <w:numPr>
          <w:ilvl w:val="0"/>
          <w:numId w:val="2"/>
        </w:numPr>
        <w:spacing w:after="80" w:line="276" w:lineRule="auto"/>
      </w:pPr>
      <w:r>
        <w:rPr>
          <w:color w:val="1F2937"/>
        </w:rPr>
        <w:t>Batch history inserts where possible (insert multiple file records in one transaction rather than one at a time).</w:t>
      </w:r>
    </w:p>
    <w:p w14:paraId="0E96E5E6" w14:textId="77777777" w:rsidR="00F40872" w:rsidRDefault="00F40872">
      <w:pPr>
        <w:spacing w:before="200"/>
      </w:pPr>
    </w:p>
    <w:p w14:paraId="4DFE5D87" w14:textId="77777777" w:rsidR="00F40872" w:rsidRDefault="00E21286">
      <w:pPr>
        <w:pStyle w:val="Heading2"/>
      </w:pPr>
      <w:r>
        <w:t>M4. No Cleanup Strategy for Output Files</w:t>
      </w:r>
    </w:p>
    <w:p w14:paraId="3256EDFE" w14:textId="77777777" w:rsidR="00F40872" w:rsidRDefault="00E21286">
      <w:pPr>
        <w:spacing w:after="120" w:line="276" w:lineRule="auto"/>
      </w:pPr>
      <w:r>
        <w:rPr>
          <w:color w:val="1F2937"/>
        </w:rPr>
        <w:t>Every conversion creates files in output/&lt;batch_id&gt;/. With regular use, this directory will grow indefinitely. The spec preserves history records when files are deleted ("Missing files show dimmed row") but never defines when or how files get cleaned up.</w:t>
      </w:r>
    </w:p>
    <w:p w14:paraId="4BF4FCF8" w14:textId="77777777" w:rsidR="00F40872" w:rsidRDefault="00E21286">
      <w:pPr>
        <w:spacing w:before="200" w:after="120"/>
      </w:pPr>
      <w:r>
        <w:rPr>
          <w:b/>
          <w:bCs/>
          <w:color w:val="1F2937"/>
          <w:sz w:val="22"/>
          <w:szCs w:val="22"/>
        </w:rPr>
        <w:t>Recommendation</w:t>
      </w:r>
    </w:p>
    <w:p w14:paraId="10998BD1" w14:textId="77777777" w:rsidR="00F40872" w:rsidRDefault="00E21286">
      <w:pPr>
        <w:pStyle w:val="ListParagraph"/>
        <w:numPr>
          <w:ilvl w:val="0"/>
          <w:numId w:val="2"/>
        </w:numPr>
        <w:spacing w:after="80" w:line="276" w:lineRule="auto"/>
      </w:pPr>
      <w:r>
        <w:rPr>
          <w:color w:val="1F2937"/>
        </w:rPr>
        <w:t>Add a configurable retention period (default: 30 days). Add a cleanup task that runs on startup and optionally on a schedule.</w:t>
      </w:r>
    </w:p>
    <w:p w14:paraId="6D957C9B" w14:textId="77777777" w:rsidR="00F40872" w:rsidRDefault="00E21286">
      <w:pPr>
        <w:pStyle w:val="ListParagraph"/>
        <w:numPr>
          <w:ilvl w:val="0"/>
          <w:numId w:val="2"/>
        </w:numPr>
        <w:spacing w:after="80" w:line="276" w:lineRule="auto"/>
      </w:pPr>
      <w:r>
        <w:rPr>
          <w:color w:val="1F2937"/>
        </w:rPr>
        <w:t>Add a "disk usage" indicator to the Settings page.</w:t>
      </w:r>
    </w:p>
    <w:p w14:paraId="1ADA428B" w14:textId="77777777" w:rsidR="00F40872" w:rsidRDefault="00E21286">
      <w:pPr>
        <w:pStyle w:val="ListParagraph"/>
        <w:numPr>
          <w:ilvl w:val="0"/>
          <w:numId w:val="2"/>
        </w:numPr>
        <w:spacing w:after="80" w:line="276" w:lineRule="auto"/>
      </w:pPr>
      <w:r>
        <w:rPr>
          <w:color w:val="1F2937"/>
        </w:rPr>
        <w:t>Consider a manual "purge old files" button in the History page, preserving the database records.</w:t>
      </w:r>
    </w:p>
    <w:p w14:paraId="42378844" w14:textId="77777777" w:rsidR="00F40872" w:rsidRDefault="00F40872">
      <w:pPr>
        <w:spacing w:before="200"/>
      </w:pPr>
    </w:p>
    <w:p w14:paraId="67737443" w14:textId="77777777" w:rsidR="00F40872" w:rsidRDefault="00E21286">
      <w:pPr>
        <w:pStyle w:val="Heading2"/>
      </w:pPr>
      <w:r>
        <w:t>M5. PPTX Chart/SmartArt Support Is Missing</w:t>
      </w:r>
    </w:p>
    <w:p w14:paraId="53402D31" w14:textId="77777777" w:rsidR="00F40872" w:rsidRDefault="00E21286">
      <w:pPr>
        <w:spacing w:after="120" w:line="276" w:lineRule="auto"/>
      </w:pPr>
      <w:r>
        <w:rPr>
          <w:color w:val="1F2937"/>
        </w:rPr>
        <w:t>The spec mentions extracting "slide titles, body text, speaker notes, tables, images" from .pptx but doesn't mention charts, SmartArt, or embedded media. These are common in real-world presentations and will silently disappear during conversion.</w:t>
      </w:r>
    </w:p>
    <w:p w14:paraId="60129E7F" w14:textId="77777777" w:rsidR="00F40872" w:rsidRDefault="00E21286">
      <w:pPr>
        <w:spacing w:before="200" w:after="120"/>
      </w:pPr>
      <w:r>
        <w:rPr>
          <w:b/>
          <w:bCs/>
          <w:color w:val="1F2937"/>
          <w:sz w:val="22"/>
          <w:szCs w:val="22"/>
        </w:rPr>
        <w:t>Recommendation</w:t>
      </w:r>
    </w:p>
    <w:p w14:paraId="455744FB" w14:textId="77777777" w:rsidR="00F40872" w:rsidRDefault="00E21286">
      <w:pPr>
        <w:pStyle w:val="ListParagraph"/>
        <w:numPr>
          <w:ilvl w:val="0"/>
          <w:numId w:val="2"/>
        </w:numPr>
        <w:spacing w:after="80" w:line="276" w:lineRule="auto"/>
      </w:pPr>
      <w:r>
        <w:rPr>
          <w:color w:val="1F2937"/>
        </w:rPr>
        <w:t>For charts: extract as images (render the chart to PNG using python-pptx's slide image export or via LibreOffice headless). Store chart data in the sidecar if accessible.</w:t>
      </w:r>
    </w:p>
    <w:p w14:paraId="3FFE18AA" w14:textId="77777777" w:rsidR="00F40872" w:rsidRDefault="00E21286">
      <w:pPr>
        <w:pStyle w:val="ListParagraph"/>
        <w:numPr>
          <w:ilvl w:val="0"/>
          <w:numId w:val="2"/>
        </w:numPr>
        <w:spacing w:after="80" w:line="276" w:lineRule="auto"/>
      </w:pPr>
      <w:r>
        <w:rPr>
          <w:color w:val="1F2937"/>
        </w:rPr>
        <w:t>For SmartArt: extract as images. SmartArt is essentially just grouped shapes with a data model that's extremely difficult to serialize to Markdown.</w:t>
      </w:r>
    </w:p>
    <w:p w14:paraId="1205168A" w14:textId="77777777" w:rsidR="00F40872" w:rsidRDefault="00E21286">
      <w:pPr>
        <w:pStyle w:val="ListParagraph"/>
        <w:numPr>
          <w:ilvl w:val="0"/>
          <w:numId w:val="2"/>
        </w:numPr>
        <w:spacing w:after="80" w:line="276" w:lineRule="auto"/>
      </w:pPr>
      <w:r>
        <w:rPr>
          <w:color w:val="1F2937"/>
        </w:rPr>
        <w:t>Add a manifest-level warning when unsupported elements are encountered so users know what was lost.</w:t>
      </w:r>
    </w:p>
    <w:p w14:paraId="683E6B5F" w14:textId="77777777" w:rsidR="00F40872" w:rsidRDefault="00E21286">
      <w:r>
        <w:br w:type="page"/>
      </w:r>
    </w:p>
    <w:p w14:paraId="3DAA010A" w14:textId="77777777" w:rsidR="00F40872" w:rsidRDefault="00E21286">
      <w:pPr>
        <w:pStyle w:val="Heading1"/>
      </w:pPr>
      <w:r>
        <w:t>Suggestions</w:t>
      </w:r>
    </w:p>
    <w:p w14:paraId="3DF6BB31" w14:textId="77777777" w:rsidR="00F40872" w:rsidRDefault="00E21286">
      <w:pPr>
        <w:spacing w:after="120" w:line="276" w:lineRule="auto"/>
      </w:pPr>
      <w:r>
        <w:rPr>
          <w:color w:val="1F2937"/>
        </w:rPr>
        <w:t>These are improvements that would make MarkFlow more robust, user-friendly, or maintainable.</w:t>
      </w:r>
    </w:p>
    <w:p w14:paraId="3D78297B" w14:textId="77777777" w:rsidR="00F40872" w:rsidRDefault="00F40872">
      <w:pPr>
        <w:spacing w:before="160"/>
      </w:pPr>
    </w:p>
    <w:p w14:paraId="45DC35FD" w14:textId="77777777" w:rsidR="00F40872" w:rsidRDefault="00E21286">
      <w:pPr>
        <w:pStyle w:val="Heading2"/>
      </w:pPr>
      <w:r>
        <w:t>S1. Add a Conversion Preview Before Committing</w:t>
      </w:r>
    </w:p>
    <w:p w14:paraId="2C1010BD" w14:textId="77777777" w:rsidR="00F40872" w:rsidRDefault="00E21286">
      <w:pPr>
        <w:spacing w:after="120" w:line="276" w:lineRule="auto"/>
      </w:pPr>
      <w:r>
        <w:rPr>
          <w:color w:val="1F2937"/>
        </w:rPr>
        <w:t>Before running a full conversion, show a quick preview: detected format, estimated page count, whether OCR will be triggered, and any detected issues (unsupported elements, very large file). This gives users a chance to adjust settings before waiting through a long conversion.</w:t>
      </w:r>
    </w:p>
    <w:p w14:paraId="7F5EF6BA" w14:textId="77777777" w:rsidR="00F40872" w:rsidRDefault="00F40872">
      <w:pPr>
        <w:spacing w:before="200"/>
      </w:pPr>
    </w:p>
    <w:p w14:paraId="792C3620" w14:textId="77777777" w:rsidR="00F40872" w:rsidRDefault="00E21286">
      <w:pPr>
        <w:pStyle w:val="Heading2"/>
      </w:pPr>
      <w:r>
        <w:t>S2. Add Microsoft's markitdown as an Alternative Engine</w:t>
      </w:r>
    </w:p>
    <w:p w14:paraId="302573DE" w14:textId="77777777" w:rsidR="00F40872" w:rsidRDefault="00E21286">
      <w:pPr>
        <w:spacing w:after="120" w:line="276" w:lineRule="auto"/>
      </w:pPr>
      <w:r>
        <w:rPr>
          <w:color w:val="1F2937"/>
        </w:rPr>
        <w:t>Microsoft released markitdown in late 2024—an open-source Python library that converts Office documents (docx, pptx, xlsx, pdf) to Markdown. It's actively maintained and handles many edge cases. It could serve as either a validation reference (compare its output against yours) or as an optional conversion backend that users can select.</w:t>
      </w:r>
    </w:p>
    <w:p w14:paraId="27DAEA6F" w14:textId="77777777" w:rsidR="00F40872" w:rsidRDefault="00F40872">
      <w:pPr>
        <w:spacing w:before="200"/>
      </w:pPr>
    </w:p>
    <w:p w14:paraId="1460758D" w14:textId="77777777" w:rsidR="00F40872" w:rsidRDefault="00E21286">
      <w:pPr>
        <w:pStyle w:val="Heading2"/>
      </w:pPr>
      <w:r>
        <w:t>S3. Use a Format-Agnostic Intermediate Representation</w:t>
      </w:r>
    </w:p>
    <w:p w14:paraId="538A51CD" w14:textId="77777777" w:rsidR="00F40872" w:rsidRDefault="00E21286">
      <w:pPr>
        <w:spacing w:after="120" w:line="276" w:lineRule="auto"/>
      </w:pPr>
      <w:r>
        <w:rPr>
          <w:color w:val="1F2937"/>
        </w:rPr>
        <w:t>Instead of converting each format directly to/from Markdown, consider defining an intermediate document model (paragraphs, headings, tables, images, metadata) that all formats convert to/from. This reduces the matrix from N×M converters to N+M and makes adding new formats much simpler. The intermediate model can also carry style metadata natively, reducing sidecar complexity.</w:t>
      </w:r>
    </w:p>
    <w:p w14:paraId="7C710C6C" w14:textId="77777777" w:rsidR="00F40872" w:rsidRDefault="00F40872">
      <w:pPr>
        <w:spacing w:before="200"/>
      </w:pPr>
    </w:p>
    <w:p w14:paraId="17F67B1B" w14:textId="77777777" w:rsidR="00F40872" w:rsidRDefault="00E21286">
      <w:pPr>
        <w:pStyle w:val="Heading2"/>
      </w:pPr>
      <w:r>
        <w:t>S4. Add Checksum Verification for Round-Trip Testing</w:t>
      </w:r>
    </w:p>
    <w:p w14:paraId="65DD75A0" w14:textId="77777777" w:rsidR="00F40872" w:rsidRDefault="00E21286">
      <w:pPr>
        <w:spacing w:after="120" w:line="276" w:lineRule="auto"/>
      </w:pPr>
      <w:r>
        <w:rPr>
          <w:color w:val="1F2937"/>
        </w:rPr>
        <w:t>The spec mentions "structural comparison" for round-trip tests but doesn't define what "structural" means. Add explicit comparison functions: heading count and text, table dimensions and cell content, image count and dimensions, list item count and nesting depth. Generate a structural hash for each document and compare hashes.</w:t>
      </w:r>
    </w:p>
    <w:p w14:paraId="7BF66B84" w14:textId="77777777" w:rsidR="00F40872" w:rsidRDefault="00F40872">
      <w:pPr>
        <w:spacing w:before="200"/>
      </w:pPr>
    </w:p>
    <w:p w14:paraId="3787927A" w14:textId="77777777" w:rsidR="00F40872" w:rsidRDefault="00E21286">
      <w:pPr>
        <w:pStyle w:val="Heading2"/>
      </w:pPr>
      <w:r>
        <w:t>S5. Version the Style Sidecar Schema</w:t>
      </w:r>
    </w:p>
    <w:p w14:paraId="670B1EF8" w14:textId="77777777" w:rsidR="00F40872" w:rsidRDefault="00E21286">
      <w:pPr>
        <w:spacing w:after="120" w:line="276" w:lineRule="auto"/>
      </w:pPr>
      <w:r>
        <w:rPr>
          <w:color w:val="1F2937"/>
        </w:rPr>
        <w:t>The style sidecar JSON will evolve as you add format support and discover new properties to preserve. Without versioning, older sidecars will silently fail or produce wrong output when used with newer code. Add a schema_version field to every sidecar and implement migration logic.</w:t>
      </w:r>
    </w:p>
    <w:p w14:paraId="30B00954" w14:textId="77777777" w:rsidR="00F40872" w:rsidRDefault="00F40872">
      <w:pPr>
        <w:spacing w:before="200"/>
      </w:pPr>
    </w:p>
    <w:p w14:paraId="6C62B14E" w14:textId="77777777" w:rsidR="00F40872" w:rsidRDefault="00E21286">
      <w:pPr>
        <w:pStyle w:val="Heading2"/>
      </w:pPr>
      <w:r>
        <w:t>S6. Add Docker / Docker Compose for Easy Setup</w:t>
      </w:r>
    </w:p>
    <w:p w14:paraId="2138FCB7" w14:textId="77777777" w:rsidR="00F40872" w:rsidRDefault="00E21286">
      <w:pPr>
        <w:spacing w:after="120" w:line="276" w:lineRule="auto"/>
      </w:pPr>
      <w:r>
        <w:rPr>
          <w:color w:val="1F2937"/>
        </w:rPr>
        <w:t>Given the system dependencies (Tesseract, Poppler, LibreOffice, and potentially WeasyPrint's Cairo/Pango), a Dockerfile would dramatically simplify onboarding. You're already planning this for your home lab—a well-structured Docker Compose with a single markflow service, mounted volumes for input/output, and environment variables for configuration would make this much more approachable.</w:t>
      </w:r>
    </w:p>
    <w:p w14:paraId="2243CA3B" w14:textId="77777777" w:rsidR="00F40872" w:rsidRDefault="00E21286">
      <w:r>
        <w:br w:type="page"/>
      </w:r>
    </w:p>
    <w:p w14:paraId="1DB1F36E" w14:textId="77777777" w:rsidR="00F40872" w:rsidRDefault="00E21286">
      <w:pPr>
        <w:pStyle w:val="Heading1"/>
      </w:pPr>
      <w:r>
        <w:t>Dependency Audit</w:t>
      </w:r>
    </w:p>
    <w:p w14:paraId="4ED48D10" w14:textId="77777777" w:rsidR="00F40872" w:rsidRDefault="00E21286">
      <w:pPr>
        <w:spacing w:after="120" w:line="276" w:lineRule="auto"/>
      </w:pPr>
      <w:r>
        <w:rPr>
          <w:color w:val="1F2937"/>
        </w:rPr>
        <w:t>A review of each key dependency with specific notes and alternatives.</w:t>
      </w:r>
    </w:p>
    <w:p w14:paraId="4B34914D" w14:textId="77777777" w:rsidR="00F40872" w:rsidRDefault="00F40872">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200"/>
        <w:gridCol w:w="3160"/>
      </w:tblGrid>
      <w:tr w:rsidR="00137BC0" w14:paraId="33479EC5" w14:textId="77777777">
        <w:tblPrEx>
          <w:tblCellMar>
            <w:top w:w="0" w:type="dxa"/>
            <w:bottom w:w="0" w:type="dxa"/>
          </w:tblCellMar>
        </w:tblPrEx>
        <w:tc>
          <w:tcPr>
            <w:tcW w:w="1800" w:type="dxa"/>
            <w:shd w:val="clear" w:color="auto" w:fill="2563EB"/>
            <w:tcMar>
              <w:top w:w="80" w:type="dxa"/>
              <w:left w:w="100" w:type="dxa"/>
              <w:bottom w:w="80" w:type="dxa"/>
              <w:right w:w="100" w:type="dxa"/>
            </w:tcMar>
          </w:tcPr>
          <w:p w14:paraId="3AB725CB" w14:textId="77777777" w:rsidR="00F40872" w:rsidRDefault="00E21286">
            <w:r>
              <w:rPr>
                <w:b/>
                <w:bCs/>
                <w:color w:val="FFFFFF"/>
                <w:sz w:val="18"/>
                <w:szCs w:val="18"/>
              </w:rPr>
              <w:t>Library</w:t>
            </w:r>
          </w:p>
        </w:tc>
        <w:tc>
          <w:tcPr>
            <w:tcW w:w="2200" w:type="dxa"/>
            <w:shd w:val="clear" w:color="auto" w:fill="2563EB"/>
            <w:tcMar>
              <w:top w:w="80" w:type="dxa"/>
              <w:left w:w="100" w:type="dxa"/>
              <w:bottom w:w="80" w:type="dxa"/>
              <w:right w:w="100" w:type="dxa"/>
            </w:tcMar>
          </w:tcPr>
          <w:p w14:paraId="1F31A907" w14:textId="77777777" w:rsidR="00F40872" w:rsidRDefault="00E21286">
            <w:r>
              <w:rPr>
                <w:b/>
                <w:bCs/>
                <w:color w:val="FFFFFF"/>
                <w:sz w:val="18"/>
                <w:szCs w:val="18"/>
              </w:rPr>
              <w:t>Purpose</w:t>
            </w:r>
          </w:p>
        </w:tc>
        <w:tc>
          <w:tcPr>
            <w:tcW w:w="2200" w:type="dxa"/>
            <w:shd w:val="clear" w:color="auto" w:fill="2563EB"/>
            <w:tcMar>
              <w:top w:w="80" w:type="dxa"/>
              <w:left w:w="100" w:type="dxa"/>
              <w:bottom w:w="80" w:type="dxa"/>
              <w:right w:w="100" w:type="dxa"/>
            </w:tcMar>
          </w:tcPr>
          <w:p w14:paraId="4F2E2192" w14:textId="77777777" w:rsidR="00F40872" w:rsidRDefault="00E21286">
            <w:r>
              <w:rPr>
                <w:b/>
                <w:bCs/>
                <w:color w:val="FFFFFF"/>
                <w:sz w:val="18"/>
                <w:szCs w:val="18"/>
              </w:rPr>
              <w:t>Verdict</w:t>
            </w:r>
          </w:p>
        </w:tc>
        <w:tc>
          <w:tcPr>
            <w:tcW w:w="3160" w:type="dxa"/>
            <w:shd w:val="clear" w:color="auto" w:fill="2563EB"/>
            <w:tcMar>
              <w:top w:w="80" w:type="dxa"/>
              <w:left w:w="100" w:type="dxa"/>
              <w:bottom w:w="80" w:type="dxa"/>
              <w:right w:w="100" w:type="dxa"/>
            </w:tcMar>
          </w:tcPr>
          <w:p w14:paraId="37CAC870" w14:textId="77777777" w:rsidR="00F40872" w:rsidRDefault="00E21286">
            <w:r>
              <w:rPr>
                <w:b/>
                <w:bCs/>
                <w:color w:val="FFFFFF"/>
                <w:sz w:val="18"/>
                <w:szCs w:val="18"/>
              </w:rPr>
              <w:t>Notes</w:t>
            </w:r>
          </w:p>
        </w:tc>
      </w:tr>
      <w:tr w:rsidR="00137BC0" w14:paraId="445D07EA" w14:textId="77777777">
        <w:tblPrEx>
          <w:tblCellMar>
            <w:top w:w="0" w:type="dxa"/>
            <w:bottom w:w="0" w:type="dxa"/>
          </w:tblCellMar>
        </w:tblPrEx>
        <w:tc>
          <w:tcPr>
            <w:tcW w:w="1800" w:type="dxa"/>
            <w:tcMar>
              <w:top w:w="60" w:type="dxa"/>
              <w:left w:w="100" w:type="dxa"/>
              <w:bottom w:w="60" w:type="dxa"/>
              <w:right w:w="100" w:type="dxa"/>
            </w:tcMar>
          </w:tcPr>
          <w:p w14:paraId="16687360" w14:textId="77777777" w:rsidR="00F40872" w:rsidRDefault="00E21286">
            <w:r>
              <w:rPr>
                <w:b/>
                <w:bCs/>
                <w:color w:val="1F2937"/>
                <w:sz w:val="18"/>
                <w:szCs w:val="18"/>
              </w:rPr>
              <w:t>python-docx</w:t>
            </w:r>
          </w:p>
        </w:tc>
        <w:tc>
          <w:tcPr>
            <w:tcW w:w="2200" w:type="dxa"/>
            <w:tcMar>
              <w:top w:w="60" w:type="dxa"/>
              <w:left w:w="100" w:type="dxa"/>
              <w:bottom w:w="60" w:type="dxa"/>
              <w:right w:w="100" w:type="dxa"/>
            </w:tcMar>
          </w:tcPr>
          <w:p w14:paraId="401ED7F5" w14:textId="77777777" w:rsidR="00F40872" w:rsidRDefault="00E21286">
            <w:r>
              <w:rPr>
                <w:color w:val="1F2937"/>
                <w:sz w:val="18"/>
                <w:szCs w:val="18"/>
              </w:rPr>
              <w:t>DOCX read/write</w:t>
            </w:r>
          </w:p>
        </w:tc>
        <w:tc>
          <w:tcPr>
            <w:tcW w:w="2200" w:type="dxa"/>
            <w:tcMar>
              <w:top w:w="60" w:type="dxa"/>
              <w:left w:w="100" w:type="dxa"/>
              <w:bottom w:w="60" w:type="dxa"/>
              <w:right w:w="100" w:type="dxa"/>
            </w:tcMar>
          </w:tcPr>
          <w:p w14:paraId="7A4FA0AD" w14:textId="77777777" w:rsidR="00F40872" w:rsidRDefault="00E21286">
            <w:r>
              <w:rPr>
                <w:color w:val="1F2937"/>
                <w:sz w:val="18"/>
                <w:szCs w:val="18"/>
              </w:rPr>
              <w:t>Keep</w:t>
            </w:r>
          </w:p>
        </w:tc>
        <w:tc>
          <w:tcPr>
            <w:tcW w:w="3160" w:type="dxa"/>
            <w:tcMar>
              <w:top w:w="60" w:type="dxa"/>
              <w:left w:w="100" w:type="dxa"/>
              <w:bottom w:w="60" w:type="dxa"/>
              <w:right w:w="100" w:type="dxa"/>
            </w:tcMar>
          </w:tcPr>
          <w:p w14:paraId="5BD40269" w14:textId="77777777" w:rsidR="00F40872" w:rsidRDefault="00E21286">
            <w:r>
              <w:rPr>
                <w:color w:val="1F2937"/>
                <w:sz w:val="18"/>
                <w:szCs w:val="18"/>
              </w:rPr>
              <w:t>Core library. Good for extraction &amp; reconstruction. Watch for run-level formatting loss.</w:t>
            </w:r>
          </w:p>
        </w:tc>
      </w:tr>
      <w:tr w:rsidR="00137BC0" w14:paraId="2EE55C38" w14:textId="77777777">
        <w:tblPrEx>
          <w:tblCellMar>
            <w:top w:w="0" w:type="dxa"/>
            <w:bottom w:w="0" w:type="dxa"/>
          </w:tblCellMar>
        </w:tblPrEx>
        <w:tc>
          <w:tcPr>
            <w:tcW w:w="1800" w:type="dxa"/>
            <w:tcMar>
              <w:top w:w="60" w:type="dxa"/>
              <w:left w:w="100" w:type="dxa"/>
              <w:bottom w:w="60" w:type="dxa"/>
              <w:right w:w="100" w:type="dxa"/>
            </w:tcMar>
          </w:tcPr>
          <w:p w14:paraId="4F9C887A" w14:textId="77777777" w:rsidR="00F40872" w:rsidRDefault="00E21286">
            <w:r>
              <w:rPr>
                <w:b/>
                <w:bCs/>
                <w:color w:val="1F2937"/>
                <w:sz w:val="18"/>
                <w:szCs w:val="18"/>
              </w:rPr>
              <w:t>mammoth</w:t>
            </w:r>
          </w:p>
        </w:tc>
        <w:tc>
          <w:tcPr>
            <w:tcW w:w="2200" w:type="dxa"/>
            <w:tcMar>
              <w:top w:w="60" w:type="dxa"/>
              <w:left w:w="100" w:type="dxa"/>
              <w:bottom w:w="60" w:type="dxa"/>
              <w:right w:w="100" w:type="dxa"/>
            </w:tcMar>
          </w:tcPr>
          <w:p w14:paraId="432C91F4" w14:textId="77777777" w:rsidR="00F40872" w:rsidRDefault="00E21286">
            <w:r>
              <w:rPr>
                <w:color w:val="1F2937"/>
                <w:sz w:val="18"/>
                <w:szCs w:val="18"/>
              </w:rPr>
              <w:t>DOCX → HTML</w:t>
            </w:r>
          </w:p>
        </w:tc>
        <w:tc>
          <w:tcPr>
            <w:tcW w:w="2200" w:type="dxa"/>
            <w:tcMar>
              <w:top w:w="60" w:type="dxa"/>
              <w:left w:w="100" w:type="dxa"/>
              <w:bottom w:w="60" w:type="dxa"/>
              <w:right w:w="100" w:type="dxa"/>
            </w:tcMar>
          </w:tcPr>
          <w:p w14:paraId="1FE80B1E" w14:textId="77777777" w:rsidR="00F40872" w:rsidRDefault="00E21286">
            <w:r>
              <w:rPr>
                <w:color w:val="1F2937"/>
                <w:sz w:val="18"/>
                <w:szCs w:val="18"/>
              </w:rPr>
              <w:t>Replace pipeline</w:t>
            </w:r>
          </w:p>
        </w:tc>
        <w:tc>
          <w:tcPr>
            <w:tcW w:w="3160" w:type="dxa"/>
            <w:tcMar>
              <w:top w:w="60" w:type="dxa"/>
              <w:left w:w="100" w:type="dxa"/>
              <w:bottom w:w="60" w:type="dxa"/>
              <w:right w:w="100" w:type="dxa"/>
            </w:tcMar>
          </w:tcPr>
          <w:p w14:paraId="23FF50B2" w14:textId="77777777" w:rsidR="00F40872" w:rsidRDefault="00E21286">
            <w:r>
              <w:rPr>
                <w:color w:val="1F2937"/>
                <w:sz w:val="18"/>
                <w:szCs w:val="18"/>
              </w:rPr>
              <w:t>Use for HTML only, not direct MD. Add markdownify for HTML→MD step.</w:t>
            </w:r>
          </w:p>
        </w:tc>
      </w:tr>
      <w:tr w:rsidR="00137BC0" w14:paraId="601B2B9F" w14:textId="77777777">
        <w:tblPrEx>
          <w:tblCellMar>
            <w:top w:w="0" w:type="dxa"/>
            <w:bottom w:w="0" w:type="dxa"/>
          </w:tblCellMar>
        </w:tblPrEx>
        <w:tc>
          <w:tcPr>
            <w:tcW w:w="1800" w:type="dxa"/>
            <w:tcMar>
              <w:top w:w="60" w:type="dxa"/>
              <w:left w:w="100" w:type="dxa"/>
              <w:bottom w:w="60" w:type="dxa"/>
              <w:right w:w="100" w:type="dxa"/>
            </w:tcMar>
          </w:tcPr>
          <w:p w14:paraId="463F178C" w14:textId="77777777" w:rsidR="00F40872" w:rsidRDefault="00E21286">
            <w:r>
              <w:rPr>
                <w:b/>
                <w:bCs/>
                <w:color w:val="1F2937"/>
                <w:sz w:val="18"/>
                <w:szCs w:val="18"/>
              </w:rPr>
              <w:t>pdfplumber</w:t>
            </w:r>
          </w:p>
        </w:tc>
        <w:tc>
          <w:tcPr>
            <w:tcW w:w="2200" w:type="dxa"/>
            <w:tcMar>
              <w:top w:w="60" w:type="dxa"/>
              <w:left w:w="100" w:type="dxa"/>
              <w:bottom w:w="60" w:type="dxa"/>
              <w:right w:w="100" w:type="dxa"/>
            </w:tcMar>
          </w:tcPr>
          <w:p w14:paraId="7D77273A" w14:textId="77777777" w:rsidR="00F40872" w:rsidRDefault="00E21286">
            <w:r>
              <w:rPr>
                <w:color w:val="1F2937"/>
                <w:sz w:val="18"/>
                <w:szCs w:val="18"/>
              </w:rPr>
              <w:t>PDF text extraction</w:t>
            </w:r>
          </w:p>
        </w:tc>
        <w:tc>
          <w:tcPr>
            <w:tcW w:w="2200" w:type="dxa"/>
            <w:tcMar>
              <w:top w:w="60" w:type="dxa"/>
              <w:left w:w="100" w:type="dxa"/>
              <w:bottom w:w="60" w:type="dxa"/>
              <w:right w:w="100" w:type="dxa"/>
            </w:tcMar>
          </w:tcPr>
          <w:p w14:paraId="5F28E650" w14:textId="77777777" w:rsidR="00F40872" w:rsidRDefault="00E21286">
            <w:r>
              <w:rPr>
                <w:color w:val="1F2937"/>
                <w:sz w:val="18"/>
                <w:szCs w:val="18"/>
              </w:rPr>
              <w:t>Consider swap</w:t>
            </w:r>
          </w:p>
        </w:tc>
        <w:tc>
          <w:tcPr>
            <w:tcW w:w="3160" w:type="dxa"/>
            <w:tcMar>
              <w:top w:w="60" w:type="dxa"/>
              <w:left w:w="100" w:type="dxa"/>
              <w:bottom w:w="60" w:type="dxa"/>
              <w:right w:w="100" w:type="dxa"/>
            </w:tcMar>
          </w:tcPr>
          <w:p w14:paraId="3F1869D9" w14:textId="77777777" w:rsidR="00F40872" w:rsidRDefault="00E21286">
            <w:r>
              <w:rPr>
                <w:color w:val="1F2937"/>
                <w:sz w:val="18"/>
                <w:szCs w:val="18"/>
              </w:rPr>
              <w:t>Solid for tables. Slow for text. Consider PyMuPDF for speed (check AGPL license).</w:t>
            </w:r>
          </w:p>
        </w:tc>
      </w:tr>
      <w:tr w:rsidR="00137BC0" w14:paraId="03BC902A" w14:textId="77777777">
        <w:tblPrEx>
          <w:tblCellMar>
            <w:top w:w="0" w:type="dxa"/>
            <w:bottom w:w="0" w:type="dxa"/>
          </w:tblCellMar>
        </w:tblPrEx>
        <w:tc>
          <w:tcPr>
            <w:tcW w:w="1800" w:type="dxa"/>
            <w:tcMar>
              <w:top w:w="60" w:type="dxa"/>
              <w:left w:w="100" w:type="dxa"/>
              <w:bottom w:w="60" w:type="dxa"/>
              <w:right w:w="100" w:type="dxa"/>
            </w:tcMar>
          </w:tcPr>
          <w:p w14:paraId="1BFA9E08" w14:textId="77777777" w:rsidR="00F40872" w:rsidRDefault="00E21286">
            <w:r>
              <w:rPr>
                <w:b/>
                <w:bCs/>
                <w:color w:val="1F2937"/>
                <w:sz w:val="18"/>
                <w:szCs w:val="18"/>
              </w:rPr>
              <w:t>pdf2image</w:t>
            </w:r>
          </w:p>
        </w:tc>
        <w:tc>
          <w:tcPr>
            <w:tcW w:w="2200" w:type="dxa"/>
            <w:tcMar>
              <w:top w:w="60" w:type="dxa"/>
              <w:left w:w="100" w:type="dxa"/>
              <w:bottom w:w="60" w:type="dxa"/>
              <w:right w:w="100" w:type="dxa"/>
            </w:tcMar>
          </w:tcPr>
          <w:p w14:paraId="788D597E" w14:textId="77777777" w:rsidR="00F40872" w:rsidRDefault="00E21286">
            <w:r>
              <w:rPr>
                <w:color w:val="1F2937"/>
                <w:sz w:val="18"/>
                <w:szCs w:val="18"/>
              </w:rPr>
              <w:t>PDF page → image</w:t>
            </w:r>
          </w:p>
        </w:tc>
        <w:tc>
          <w:tcPr>
            <w:tcW w:w="2200" w:type="dxa"/>
            <w:tcMar>
              <w:top w:w="60" w:type="dxa"/>
              <w:left w:w="100" w:type="dxa"/>
              <w:bottom w:w="60" w:type="dxa"/>
              <w:right w:w="100" w:type="dxa"/>
            </w:tcMar>
          </w:tcPr>
          <w:p w14:paraId="61AF26A4" w14:textId="77777777" w:rsidR="00F40872" w:rsidRDefault="00E21286">
            <w:r>
              <w:rPr>
                <w:color w:val="1F2937"/>
                <w:sz w:val="18"/>
                <w:szCs w:val="18"/>
              </w:rPr>
              <w:t>Keep</w:t>
            </w:r>
          </w:p>
        </w:tc>
        <w:tc>
          <w:tcPr>
            <w:tcW w:w="3160" w:type="dxa"/>
            <w:tcMar>
              <w:top w:w="60" w:type="dxa"/>
              <w:left w:w="100" w:type="dxa"/>
              <w:bottom w:w="60" w:type="dxa"/>
              <w:right w:w="100" w:type="dxa"/>
            </w:tcMar>
          </w:tcPr>
          <w:p w14:paraId="176A42C3" w14:textId="77777777" w:rsidR="00F40872" w:rsidRDefault="00E21286">
            <w:r>
              <w:rPr>
                <w:color w:val="1F2937"/>
                <w:sz w:val="18"/>
                <w:szCs w:val="18"/>
              </w:rPr>
              <w:t>Requires poppler-utils. No issues.</w:t>
            </w:r>
          </w:p>
        </w:tc>
      </w:tr>
      <w:tr w:rsidR="00137BC0" w14:paraId="552C55FB" w14:textId="77777777">
        <w:tblPrEx>
          <w:tblCellMar>
            <w:top w:w="0" w:type="dxa"/>
            <w:bottom w:w="0" w:type="dxa"/>
          </w:tblCellMar>
        </w:tblPrEx>
        <w:tc>
          <w:tcPr>
            <w:tcW w:w="1800" w:type="dxa"/>
            <w:tcMar>
              <w:top w:w="60" w:type="dxa"/>
              <w:left w:w="100" w:type="dxa"/>
              <w:bottom w:w="60" w:type="dxa"/>
              <w:right w:w="100" w:type="dxa"/>
            </w:tcMar>
          </w:tcPr>
          <w:p w14:paraId="48E4BC2C" w14:textId="77777777" w:rsidR="00F40872" w:rsidRDefault="00E21286">
            <w:r>
              <w:rPr>
                <w:b/>
                <w:bCs/>
                <w:color w:val="1F2937"/>
                <w:sz w:val="18"/>
                <w:szCs w:val="18"/>
              </w:rPr>
              <w:t>pytesseract</w:t>
            </w:r>
          </w:p>
        </w:tc>
        <w:tc>
          <w:tcPr>
            <w:tcW w:w="2200" w:type="dxa"/>
            <w:tcMar>
              <w:top w:w="60" w:type="dxa"/>
              <w:left w:w="100" w:type="dxa"/>
              <w:bottom w:w="60" w:type="dxa"/>
              <w:right w:w="100" w:type="dxa"/>
            </w:tcMar>
          </w:tcPr>
          <w:p w14:paraId="0A13B091" w14:textId="77777777" w:rsidR="00F40872" w:rsidRDefault="00E21286">
            <w:r>
              <w:rPr>
                <w:color w:val="1F2937"/>
                <w:sz w:val="18"/>
                <w:szCs w:val="18"/>
              </w:rPr>
              <w:t>OCR</w:t>
            </w:r>
          </w:p>
        </w:tc>
        <w:tc>
          <w:tcPr>
            <w:tcW w:w="2200" w:type="dxa"/>
            <w:tcMar>
              <w:top w:w="60" w:type="dxa"/>
              <w:left w:w="100" w:type="dxa"/>
              <w:bottom w:w="60" w:type="dxa"/>
              <w:right w:w="100" w:type="dxa"/>
            </w:tcMar>
          </w:tcPr>
          <w:p w14:paraId="30695037" w14:textId="77777777" w:rsidR="00F40872" w:rsidRDefault="00E21286">
            <w:r>
              <w:rPr>
                <w:color w:val="1F2937"/>
                <w:sz w:val="18"/>
                <w:szCs w:val="18"/>
              </w:rPr>
              <w:t>Keep</w:t>
            </w:r>
          </w:p>
        </w:tc>
        <w:tc>
          <w:tcPr>
            <w:tcW w:w="3160" w:type="dxa"/>
            <w:tcMar>
              <w:top w:w="60" w:type="dxa"/>
              <w:left w:w="100" w:type="dxa"/>
              <w:bottom w:w="60" w:type="dxa"/>
              <w:right w:w="100" w:type="dxa"/>
            </w:tcMar>
          </w:tcPr>
          <w:p w14:paraId="533727E5" w14:textId="77777777" w:rsidR="00F40872" w:rsidRDefault="00E21286">
            <w:r>
              <w:rPr>
                <w:color w:val="1F2937"/>
                <w:sz w:val="18"/>
                <w:szCs w:val="18"/>
              </w:rPr>
              <w:t>Standard choice. Ensure Tesseract 5.x for best accuracy.</w:t>
            </w:r>
          </w:p>
        </w:tc>
      </w:tr>
      <w:tr w:rsidR="00137BC0" w14:paraId="01011FD2" w14:textId="77777777">
        <w:tblPrEx>
          <w:tblCellMar>
            <w:top w:w="0" w:type="dxa"/>
            <w:bottom w:w="0" w:type="dxa"/>
          </w:tblCellMar>
        </w:tblPrEx>
        <w:tc>
          <w:tcPr>
            <w:tcW w:w="1800" w:type="dxa"/>
            <w:tcMar>
              <w:top w:w="60" w:type="dxa"/>
              <w:left w:w="100" w:type="dxa"/>
              <w:bottom w:w="60" w:type="dxa"/>
              <w:right w:w="100" w:type="dxa"/>
            </w:tcMar>
          </w:tcPr>
          <w:p w14:paraId="227D44A6" w14:textId="77777777" w:rsidR="00F40872" w:rsidRDefault="00E21286">
            <w:r>
              <w:rPr>
                <w:b/>
                <w:bCs/>
                <w:color w:val="1F2937"/>
                <w:sz w:val="18"/>
                <w:szCs w:val="18"/>
              </w:rPr>
              <w:t>python-pptx</w:t>
            </w:r>
          </w:p>
        </w:tc>
        <w:tc>
          <w:tcPr>
            <w:tcW w:w="2200" w:type="dxa"/>
            <w:tcMar>
              <w:top w:w="60" w:type="dxa"/>
              <w:left w:w="100" w:type="dxa"/>
              <w:bottom w:w="60" w:type="dxa"/>
              <w:right w:w="100" w:type="dxa"/>
            </w:tcMar>
          </w:tcPr>
          <w:p w14:paraId="3ABF62E8" w14:textId="77777777" w:rsidR="00F40872" w:rsidRDefault="00E21286">
            <w:r>
              <w:rPr>
                <w:color w:val="1F2937"/>
                <w:sz w:val="18"/>
                <w:szCs w:val="18"/>
              </w:rPr>
              <w:t>PPTX read/write</w:t>
            </w:r>
          </w:p>
        </w:tc>
        <w:tc>
          <w:tcPr>
            <w:tcW w:w="2200" w:type="dxa"/>
            <w:tcMar>
              <w:top w:w="60" w:type="dxa"/>
              <w:left w:w="100" w:type="dxa"/>
              <w:bottom w:w="60" w:type="dxa"/>
              <w:right w:w="100" w:type="dxa"/>
            </w:tcMar>
          </w:tcPr>
          <w:p w14:paraId="5B422683" w14:textId="77777777" w:rsidR="00F40872" w:rsidRDefault="00E21286">
            <w:r>
              <w:rPr>
                <w:color w:val="1F2937"/>
                <w:sz w:val="18"/>
                <w:szCs w:val="18"/>
              </w:rPr>
              <w:t>Keep</w:t>
            </w:r>
          </w:p>
        </w:tc>
        <w:tc>
          <w:tcPr>
            <w:tcW w:w="3160" w:type="dxa"/>
            <w:tcMar>
              <w:top w:w="60" w:type="dxa"/>
              <w:left w:w="100" w:type="dxa"/>
              <w:bottom w:w="60" w:type="dxa"/>
              <w:right w:w="100" w:type="dxa"/>
            </w:tcMar>
          </w:tcPr>
          <w:p w14:paraId="13CC4D54" w14:textId="77777777" w:rsidR="00F40872" w:rsidRDefault="00E21286">
            <w:r>
              <w:rPr>
                <w:color w:val="1F2937"/>
                <w:sz w:val="18"/>
                <w:szCs w:val="18"/>
              </w:rPr>
              <w:t>No chart/SmartArt data access. Plan image fallback.</w:t>
            </w:r>
          </w:p>
        </w:tc>
      </w:tr>
      <w:tr w:rsidR="00137BC0" w14:paraId="45737CDD" w14:textId="77777777">
        <w:tblPrEx>
          <w:tblCellMar>
            <w:top w:w="0" w:type="dxa"/>
            <w:bottom w:w="0" w:type="dxa"/>
          </w:tblCellMar>
        </w:tblPrEx>
        <w:tc>
          <w:tcPr>
            <w:tcW w:w="1800" w:type="dxa"/>
            <w:tcMar>
              <w:top w:w="60" w:type="dxa"/>
              <w:left w:w="100" w:type="dxa"/>
              <w:bottom w:w="60" w:type="dxa"/>
              <w:right w:w="100" w:type="dxa"/>
            </w:tcMar>
          </w:tcPr>
          <w:p w14:paraId="08CFEC8F" w14:textId="77777777" w:rsidR="00F40872" w:rsidRDefault="00E21286">
            <w:r>
              <w:rPr>
                <w:b/>
                <w:bCs/>
                <w:color w:val="1F2937"/>
                <w:sz w:val="18"/>
                <w:szCs w:val="18"/>
              </w:rPr>
              <w:t>openpyxl</w:t>
            </w:r>
          </w:p>
        </w:tc>
        <w:tc>
          <w:tcPr>
            <w:tcW w:w="2200" w:type="dxa"/>
            <w:tcMar>
              <w:top w:w="60" w:type="dxa"/>
              <w:left w:w="100" w:type="dxa"/>
              <w:bottom w:w="60" w:type="dxa"/>
              <w:right w:w="100" w:type="dxa"/>
            </w:tcMar>
          </w:tcPr>
          <w:p w14:paraId="2BB2E54B" w14:textId="77777777" w:rsidR="00F40872" w:rsidRDefault="00E21286">
            <w:r>
              <w:rPr>
                <w:color w:val="1F2937"/>
                <w:sz w:val="18"/>
                <w:szCs w:val="18"/>
              </w:rPr>
              <w:t>XLSX read/write</w:t>
            </w:r>
          </w:p>
        </w:tc>
        <w:tc>
          <w:tcPr>
            <w:tcW w:w="2200" w:type="dxa"/>
            <w:tcMar>
              <w:top w:w="60" w:type="dxa"/>
              <w:left w:w="100" w:type="dxa"/>
              <w:bottom w:w="60" w:type="dxa"/>
              <w:right w:w="100" w:type="dxa"/>
            </w:tcMar>
          </w:tcPr>
          <w:p w14:paraId="091342B2" w14:textId="77777777" w:rsidR="00F40872" w:rsidRDefault="00E21286">
            <w:r>
              <w:rPr>
                <w:color w:val="1F2937"/>
                <w:sz w:val="18"/>
                <w:szCs w:val="18"/>
              </w:rPr>
              <w:t>Keep</w:t>
            </w:r>
          </w:p>
        </w:tc>
        <w:tc>
          <w:tcPr>
            <w:tcW w:w="3160" w:type="dxa"/>
            <w:tcMar>
              <w:top w:w="60" w:type="dxa"/>
              <w:left w:w="100" w:type="dxa"/>
              <w:bottom w:w="60" w:type="dxa"/>
              <w:right w:w="100" w:type="dxa"/>
            </w:tcMar>
          </w:tcPr>
          <w:p w14:paraId="42F24EFA" w14:textId="77777777" w:rsidR="00F40872" w:rsidRDefault="00E21286">
            <w:r>
              <w:rPr>
                <w:color w:val="1F2937"/>
                <w:sz w:val="18"/>
                <w:szCs w:val="18"/>
              </w:rPr>
              <w:t>Handles formulas as text, merged cells, styles well.</w:t>
            </w:r>
          </w:p>
        </w:tc>
      </w:tr>
      <w:tr w:rsidR="00137BC0" w14:paraId="19367F26" w14:textId="77777777">
        <w:tblPrEx>
          <w:tblCellMar>
            <w:top w:w="0" w:type="dxa"/>
            <w:bottom w:w="0" w:type="dxa"/>
          </w:tblCellMar>
        </w:tblPrEx>
        <w:tc>
          <w:tcPr>
            <w:tcW w:w="1800" w:type="dxa"/>
            <w:tcMar>
              <w:top w:w="60" w:type="dxa"/>
              <w:left w:w="100" w:type="dxa"/>
              <w:bottom w:w="60" w:type="dxa"/>
              <w:right w:w="100" w:type="dxa"/>
            </w:tcMar>
          </w:tcPr>
          <w:p w14:paraId="188A456F" w14:textId="77777777" w:rsidR="00F40872" w:rsidRDefault="00E21286">
            <w:r>
              <w:rPr>
                <w:b/>
                <w:bCs/>
                <w:color w:val="1F2937"/>
                <w:sz w:val="18"/>
                <w:szCs w:val="18"/>
              </w:rPr>
              <w:t>weasyprint</w:t>
            </w:r>
          </w:p>
        </w:tc>
        <w:tc>
          <w:tcPr>
            <w:tcW w:w="2200" w:type="dxa"/>
            <w:tcMar>
              <w:top w:w="60" w:type="dxa"/>
              <w:left w:w="100" w:type="dxa"/>
              <w:bottom w:w="60" w:type="dxa"/>
              <w:right w:w="100" w:type="dxa"/>
            </w:tcMar>
          </w:tcPr>
          <w:p w14:paraId="0B967018" w14:textId="77777777" w:rsidR="00F40872" w:rsidRDefault="00E21286">
            <w:r>
              <w:rPr>
                <w:color w:val="1F2937"/>
                <w:sz w:val="18"/>
                <w:szCs w:val="18"/>
              </w:rPr>
              <w:t>MD → PDF</w:t>
            </w:r>
          </w:p>
        </w:tc>
        <w:tc>
          <w:tcPr>
            <w:tcW w:w="2200" w:type="dxa"/>
            <w:tcMar>
              <w:top w:w="60" w:type="dxa"/>
              <w:left w:w="100" w:type="dxa"/>
              <w:bottom w:w="60" w:type="dxa"/>
              <w:right w:w="100" w:type="dxa"/>
            </w:tcMar>
          </w:tcPr>
          <w:p w14:paraId="2557081C" w14:textId="77777777" w:rsidR="00F40872" w:rsidRDefault="00E21286">
            <w:r>
              <w:rPr>
                <w:color w:val="1F2937"/>
                <w:sz w:val="18"/>
                <w:szCs w:val="18"/>
              </w:rPr>
              <w:t>Keep + fallback</w:t>
            </w:r>
          </w:p>
        </w:tc>
        <w:tc>
          <w:tcPr>
            <w:tcW w:w="3160" w:type="dxa"/>
            <w:tcMar>
              <w:top w:w="60" w:type="dxa"/>
              <w:left w:w="100" w:type="dxa"/>
              <w:bottom w:w="60" w:type="dxa"/>
              <w:right w:w="100" w:type="dxa"/>
            </w:tcMar>
          </w:tcPr>
          <w:p w14:paraId="16DEE747" w14:textId="77777777" w:rsidR="00F40872" w:rsidRDefault="00E21286">
            <w:r>
              <w:rPr>
                <w:color w:val="1F2937"/>
                <w:sz w:val="18"/>
                <w:szCs w:val="18"/>
              </w:rPr>
              <w:t>Best output quality. Add fpdf2 fallback for dependency-light installs.</w:t>
            </w:r>
          </w:p>
        </w:tc>
      </w:tr>
      <w:tr w:rsidR="00137BC0" w14:paraId="736B0E2C" w14:textId="77777777">
        <w:tblPrEx>
          <w:tblCellMar>
            <w:top w:w="0" w:type="dxa"/>
            <w:bottom w:w="0" w:type="dxa"/>
          </w:tblCellMar>
        </w:tblPrEx>
        <w:tc>
          <w:tcPr>
            <w:tcW w:w="1800" w:type="dxa"/>
            <w:tcMar>
              <w:top w:w="60" w:type="dxa"/>
              <w:left w:w="100" w:type="dxa"/>
              <w:bottom w:w="60" w:type="dxa"/>
              <w:right w:w="100" w:type="dxa"/>
            </w:tcMar>
          </w:tcPr>
          <w:p w14:paraId="478308D1" w14:textId="77777777" w:rsidR="00F40872" w:rsidRDefault="00E21286">
            <w:r>
              <w:rPr>
                <w:b/>
                <w:bCs/>
                <w:color w:val="1F2937"/>
                <w:sz w:val="18"/>
                <w:szCs w:val="18"/>
              </w:rPr>
              <w:t>aiosqlite</w:t>
            </w:r>
          </w:p>
        </w:tc>
        <w:tc>
          <w:tcPr>
            <w:tcW w:w="2200" w:type="dxa"/>
            <w:tcMar>
              <w:top w:w="60" w:type="dxa"/>
              <w:left w:w="100" w:type="dxa"/>
              <w:bottom w:w="60" w:type="dxa"/>
              <w:right w:w="100" w:type="dxa"/>
            </w:tcMar>
          </w:tcPr>
          <w:p w14:paraId="08F61532" w14:textId="77777777" w:rsidR="00F40872" w:rsidRDefault="00E21286">
            <w:r>
              <w:rPr>
                <w:color w:val="1F2937"/>
                <w:sz w:val="18"/>
                <w:szCs w:val="18"/>
              </w:rPr>
              <w:t>Async SQLite</w:t>
            </w:r>
          </w:p>
        </w:tc>
        <w:tc>
          <w:tcPr>
            <w:tcW w:w="2200" w:type="dxa"/>
            <w:tcMar>
              <w:top w:w="60" w:type="dxa"/>
              <w:left w:w="100" w:type="dxa"/>
              <w:bottom w:w="60" w:type="dxa"/>
              <w:right w:w="100" w:type="dxa"/>
            </w:tcMar>
          </w:tcPr>
          <w:p w14:paraId="6397C3CD" w14:textId="77777777" w:rsidR="00F40872" w:rsidRDefault="00E21286">
            <w:r>
              <w:rPr>
                <w:color w:val="1F2937"/>
                <w:sz w:val="18"/>
                <w:szCs w:val="18"/>
              </w:rPr>
              <w:t>Keep</w:t>
            </w:r>
          </w:p>
        </w:tc>
        <w:tc>
          <w:tcPr>
            <w:tcW w:w="3160" w:type="dxa"/>
            <w:tcMar>
              <w:top w:w="60" w:type="dxa"/>
              <w:left w:w="100" w:type="dxa"/>
              <w:bottom w:w="60" w:type="dxa"/>
              <w:right w:w="100" w:type="dxa"/>
            </w:tcMar>
          </w:tcPr>
          <w:p w14:paraId="503F88DB" w14:textId="77777777" w:rsidR="00F40872" w:rsidRDefault="00E21286">
            <w:r>
              <w:rPr>
                <w:color w:val="1F2937"/>
                <w:sz w:val="18"/>
                <w:szCs w:val="18"/>
              </w:rPr>
              <w:t>Enable WAL mode. Add busy_timeout.</w:t>
            </w:r>
          </w:p>
        </w:tc>
      </w:tr>
      <w:tr w:rsidR="00137BC0" w14:paraId="71BF14DB" w14:textId="77777777">
        <w:tblPrEx>
          <w:tblCellMar>
            <w:top w:w="0" w:type="dxa"/>
            <w:bottom w:w="0" w:type="dxa"/>
          </w:tblCellMar>
        </w:tblPrEx>
        <w:tc>
          <w:tcPr>
            <w:tcW w:w="1800" w:type="dxa"/>
            <w:tcMar>
              <w:top w:w="60" w:type="dxa"/>
              <w:left w:w="100" w:type="dxa"/>
              <w:bottom w:w="60" w:type="dxa"/>
              <w:right w:w="100" w:type="dxa"/>
            </w:tcMar>
          </w:tcPr>
          <w:p w14:paraId="24DA70A8" w14:textId="77777777" w:rsidR="00F40872" w:rsidRDefault="00E21286">
            <w:r>
              <w:rPr>
                <w:b/>
                <w:bCs/>
                <w:color w:val="1F2937"/>
                <w:sz w:val="18"/>
                <w:szCs w:val="18"/>
              </w:rPr>
              <w:t>structlog</w:t>
            </w:r>
          </w:p>
        </w:tc>
        <w:tc>
          <w:tcPr>
            <w:tcW w:w="2200" w:type="dxa"/>
            <w:tcMar>
              <w:top w:w="60" w:type="dxa"/>
              <w:left w:w="100" w:type="dxa"/>
              <w:bottom w:w="60" w:type="dxa"/>
              <w:right w:w="100" w:type="dxa"/>
            </w:tcMar>
          </w:tcPr>
          <w:p w14:paraId="6B20AF86" w14:textId="77777777" w:rsidR="00F40872" w:rsidRDefault="00E21286">
            <w:r>
              <w:rPr>
                <w:color w:val="1F2937"/>
                <w:sz w:val="18"/>
                <w:szCs w:val="18"/>
              </w:rPr>
              <w:t>Logging</w:t>
            </w:r>
          </w:p>
        </w:tc>
        <w:tc>
          <w:tcPr>
            <w:tcW w:w="2200" w:type="dxa"/>
            <w:tcMar>
              <w:top w:w="60" w:type="dxa"/>
              <w:left w:w="100" w:type="dxa"/>
              <w:bottom w:w="60" w:type="dxa"/>
              <w:right w:w="100" w:type="dxa"/>
            </w:tcMar>
          </w:tcPr>
          <w:p w14:paraId="5FFAA75B" w14:textId="77777777" w:rsidR="00F40872" w:rsidRDefault="00E21286">
            <w:r>
              <w:rPr>
                <w:color w:val="1F2937"/>
                <w:sz w:val="18"/>
                <w:szCs w:val="18"/>
              </w:rPr>
              <w:t>Keep</w:t>
            </w:r>
          </w:p>
        </w:tc>
        <w:tc>
          <w:tcPr>
            <w:tcW w:w="3160" w:type="dxa"/>
            <w:tcMar>
              <w:top w:w="60" w:type="dxa"/>
              <w:left w:w="100" w:type="dxa"/>
              <w:bottom w:w="60" w:type="dxa"/>
              <w:right w:w="100" w:type="dxa"/>
            </w:tcMar>
          </w:tcPr>
          <w:p w14:paraId="2DF33BAE" w14:textId="77777777" w:rsidR="00F40872" w:rsidRDefault="00E21286">
            <w:r>
              <w:rPr>
                <w:color w:val="1F2937"/>
                <w:sz w:val="18"/>
                <w:szCs w:val="18"/>
              </w:rPr>
              <w:t>Excellent choice for structured JSON logs.</w:t>
            </w:r>
          </w:p>
        </w:tc>
      </w:tr>
      <w:tr w:rsidR="00137BC0" w14:paraId="158B60FC" w14:textId="77777777">
        <w:tblPrEx>
          <w:tblCellMar>
            <w:top w:w="0" w:type="dxa"/>
            <w:bottom w:w="0" w:type="dxa"/>
          </w:tblCellMar>
        </w:tblPrEx>
        <w:tc>
          <w:tcPr>
            <w:tcW w:w="1800" w:type="dxa"/>
            <w:tcMar>
              <w:top w:w="60" w:type="dxa"/>
              <w:left w:w="100" w:type="dxa"/>
              <w:bottom w:w="60" w:type="dxa"/>
              <w:right w:w="100" w:type="dxa"/>
            </w:tcMar>
          </w:tcPr>
          <w:p w14:paraId="696AE198" w14:textId="77777777" w:rsidR="00F40872" w:rsidRDefault="00E21286">
            <w:r>
              <w:rPr>
                <w:b/>
                <w:bCs/>
                <w:color w:val="1F2937"/>
                <w:sz w:val="18"/>
                <w:szCs w:val="18"/>
              </w:rPr>
              <w:t>fastapi</w:t>
            </w:r>
          </w:p>
        </w:tc>
        <w:tc>
          <w:tcPr>
            <w:tcW w:w="2200" w:type="dxa"/>
            <w:tcMar>
              <w:top w:w="60" w:type="dxa"/>
              <w:left w:w="100" w:type="dxa"/>
              <w:bottom w:w="60" w:type="dxa"/>
              <w:right w:w="100" w:type="dxa"/>
            </w:tcMar>
          </w:tcPr>
          <w:p w14:paraId="445D689F" w14:textId="77777777" w:rsidR="00F40872" w:rsidRDefault="00E21286">
            <w:r>
              <w:rPr>
                <w:color w:val="1F2937"/>
                <w:sz w:val="18"/>
                <w:szCs w:val="18"/>
              </w:rPr>
              <w:t>Web framework</w:t>
            </w:r>
          </w:p>
        </w:tc>
        <w:tc>
          <w:tcPr>
            <w:tcW w:w="2200" w:type="dxa"/>
            <w:tcMar>
              <w:top w:w="60" w:type="dxa"/>
              <w:left w:w="100" w:type="dxa"/>
              <w:bottom w:w="60" w:type="dxa"/>
              <w:right w:w="100" w:type="dxa"/>
            </w:tcMar>
          </w:tcPr>
          <w:p w14:paraId="4E8384E3" w14:textId="77777777" w:rsidR="00F40872" w:rsidRDefault="00E21286">
            <w:r>
              <w:rPr>
                <w:color w:val="1F2937"/>
                <w:sz w:val="18"/>
                <w:szCs w:val="18"/>
              </w:rPr>
              <w:t>Keep</w:t>
            </w:r>
          </w:p>
        </w:tc>
        <w:tc>
          <w:tcPr>
            <w:tcW w:w="3160" w:type="dxa"/>
            <w:tcMar>
              <w:top w:w="60" w:type="dxa"/>
              <w:left w:w="100" w:type="dxa"/>
              <w:bottom w:w="60" w:type="dxa"/>
              <w:right w:w="100" w:type="dxa"/>
            </w:tcMar>
          </w:tcPr>
          <w:p w14:paraId="268DCC3D" w14:textId="77777777" w:rsidR="00F40872" w:rsidRDefault="00E21286">
            <w:r>
              <w:rPr>
                <w:color w:val="1F2937"/>
                <w:sz w:val="18"/>
                <w:szCs w:val="18"/>
              </w:rPr>
              <w:t>Perfect fit for this project.</w:t>
            </w:r>
          </w:p>
        </w:tc>
      </w:tr>
    </w:tbl>
    <w:p w14:paraId="595CC0F9" w14:textId="77777777" w:rsidR="00F40872" w:rsidRDefault="00E21286">
      <w:r>
        <w:br w:type="page"/>
      </w:r>
    </w:p>
    <w:p w14:paraId="5663E6B3" w14:textId="77777777" w:rsidR="00F40872" w:rsidRDefault="00E21286">
      <w:pPr>
        <w:pStyle w:val="Heading1"/>
      </w:pPr>
      <w:r>
        <w:t>Revised Build Order</w:t>
      </w:r>
    </w:p>
    <w:p w14:paraId="51963D7D" w14:textId="77777777" w:rsidR="00F40872" w:rsidRDefault="00E21286">
      <w:pPr>
        <w:spacing w:after="120" w:line="276" w:lineRule="auto"/>
      </w:pPr>
      <w:r>
        <w:rPr>
          <w:color w:val="1F2937"/>
        </w:rPr>
        <w:t>The original 6-phase plan is solid. Here are specific adjustments based on the issues above.</w:t>
      </w:r>
    </w:p>
    <w:p w14:paraId="0BC1C3CC" w14:textId="77777777" w:rsidR="00F40872" w:rsidRDefault="00F40872">
      <w:pPr>
        <w:spacing w:before="160"/>
      </w:pPr>
    </w:p>
    <w:p w14:paraId="2381255B" w14:textId="77777777" w:rsidR="00F40872" w:rsidRDefault="00E21286">
      <w:pPr>
        <w:pStyle w:val="Heading2"/>
      </w:pPr>
      <w:r>
        <w:t>Phase 0 (New): Project Setup</w:t>
      </w:r>
    </w:p>
    <w:p w14:paraId="2C82C909" w14:textId="77777777" w:rsidR="00F40872" w:rsidRDefault="00E21286">
      <w:pPr>
        <w:pStyle w:val="ListParagraph"/>
        <w:numPr>
          <w:ilvl w:val="0"/>
          <w:numId w:val="2"/>
        </w:numPr>
        <w:spacing w:after="80" w:line="276" w:lineRule="auto"/>
      </w:pPr>
      <w:r>
        <w:rPr>
          <w:color w:val="1F2937"/>
        </w:rPr>
        <w:t>Create Dockerfile with all system dependencies (Tesseract, Poppler, LibreOffice, WeasyPrint deps)</w:t>
      </w:r>
    </w:p>
    <w:p w14:paraId="306721DB" w14:textId="77777777" w:rsidR="00F40872" w:rsidRDefault="00E21286">
      <w:pPr>
        <w:pStyle w:val="ListParagraph"/>
        <w:numPr>
          <w:ilvl w:val="0"/>
          <w:numId w:val="2"/>
        </w:numPr>
        <w:spacing w:after="80" w:line="276" w:lineRule="auto"/>
      </w:pPr>
      <w:r>
        <w:rPr>
          <w:color w:val="1F2937"/>
        </w:rPr>
        <w:t>Set up docker-compose.yml with mounted volumes for input/output</w:t>
      </w:r>
    </w:p>
    <w:p w14:paraId="7F8AA240" w14:textId="77777777" w:rsidR="00F40872" w:rsidRDefault="00E21286">
      <w:pPr>
        <w:pStyle w:val="ListParagraph"/>
        <w:numPr>
          <w:ilvl w:val="0"/>
          <w:numId w:val="2"/>
        </w:numPr>
        <w:spacing w:after="80" w:line="276" w:lineRule="auto"/>
      </w:pPr>
      <w:r>
        <w:rPr>
          <w:color w:val="1F2937"/>
        </w:rPr>
        <w:t>Verify all Python and system dependencies install cleanly in container</w:t>
      </w:r>
    </w:p>
    <w:p w14:paraId="047F6D56" w14:textId="77777777" w:rsidR="00F40872" w:rsidRDefault="00E21286">
      <w:pPr>
        <w:pStyle w:val="ListParagraph"/>
        <w:numPr>
          <w:ilvl w:val="0"/>
          <w:numId w:val="2"/>
        </w:numPr>
        <w:spacing w:after="80" w:line="276" w:lineRule="auto"/>
      </w:pPr>
      <w:r>
        <w:rPr>
          <w:color w:val="1F2937"/>
        </w:rPr>
        <w:t>This avoids "works on my machine" issues for every subsequent phase</w:t>
      </w:r>
    </w:p>
    <w:p w14:paraId="279227ED" w14:textId="77777777" w:rsidR="00F40872" w:rsidRDefault="00F40872">
      <w:pPr>
        <w:spacing w:before="160"/>
      </w:pPr>
    </w:p>
    <w:p w14:paraId="2D1284F8" w14:textId="77777777" w:rsidR="00F40872" w:rsidRDefault="00E21286">
      <w:pPr>
        <w:pStyle w:val="Heading2"/>
      </w:pPr>
      <w:r>
        <w:t>Phase 1: Foundation (Adjusted)</w:t>
      </w:r>
    </w:p>
    <w:p w14:paraId="3A83D7B7" w14:textId="77777777" w:rsidR="00F40872" w:rsidRDefault="00E21286">
      <w:pPr>
        <w:pStyle w:val="ListParagraph"/>
        <w:numPr>
          <w:ilvl w:val="0"/>
          <w:numId w:val="2"/>
        </w:numPr>
        <w:spacing w:after="80" w:line="276" w:lineRule="auto"/>
      </w:pPr>
      <w:r>
        <w:rPr>
          <w:color w:val="1F2937"/>
        </w:rPr>
        <w:t>Add startup dependency checks (Tesseract available? LibreOffice? Poppler?)</w:t>
      </w:r>
    </w:p>
    <w:p w14:paraId="6EF7551B" w14:textId="77777777" w:rsidR="00F40872" w:rsidRDefault="00E21286">
      <w:pPr>
        <w:pStyle w:val="ListParagraph"/>
        <w:numPr>
          <w:ilvl w:val="0"/>
          <w:numId w:val="2"/>
        </w:numPr>
        <w:spacing w:after="80" w:line="276" w:lineRule="auto"/>
      </w:pPr>
      <w:r>
        <w:rPr>
          <w:color w:val="1F2937"/>
        </w:rPr>
        <w:t>Enable WAL mode in SQLite initialization</w:t>
      </w:r>
    </w:p>
    <w:p w14:paraId="2188CD8B" w14:textId="77777777" w:rsidR="00F40872" w:rsidRDefault="00E21286">
      <w:pPr>
        <w:pStyle w:val="ListParagraph"/>
        <w:numPr>
          <w:ilvl w:val="0"/>
          <w:numId w:val="2"/>
        </w:numPr>
        <w:spacing w:after="80" w:line="276" w:lineRule="auto"/>
      </w:pPr>
      <w:r>
        <w:rPr>
          <w:color w:val="1F2937"/>
        </w:rPr>
        <w:t>Use python-docx for extraction + custom markdown renderer (not mammoth direct)</w:t>
      </w:r>
    </w:p>
    <w:p w14:paraId="18421428" w14:textId="77777777" w:rsidR="00F40872" w:rsidRDefault="00E21286">
      <w:pPr>
        <w:pStyle w:val="ListParagraph"/>
        <w:numPr>
          <w:ilvl w:val="0"/>
          <w:numId w:val="2"/>
        </w:numPr>
        <w:spacing w:after="80" w:line="276" w:lineRule="auto"/>
      </w:pPr>
      <w:r>
        <w:rPr>
          <w:color w:val="1F2937"/>
        </w:rPr>
        <w:t>Define the intermediate document model before writing format handlers</w:t>
      </w:r>
    </w:p>
    <w:p w14:paraId="3A0C0106" w14:textId="77777777" w:rsidR="00F40872" w:rsidRDefault="00E21286">
      <w:pPr>
        <w:pStyle w:val="ListParagraph"/>
        <w:numPr>
          <w:ilvl w:val="0"/>
          <w:numId w:val="2"/>
        </w:numPr>
        <w:spacing w:after="80" w:line="276" w:lineRule="auto"/>
      </w:pPr>
      <w:r>
        <w:rPr>
          <w:color w:val="1F2937"/>
        </w:rPr>
        <w:t>Add file size validation and disk space checks to upload endpoint</w:t>
      </w:r>
    </w:p>
    <w:p w14:paraId="79900962" w14:textId="77777777" w:rsidR="00F40872" w:rsidRDefault="00F40872">
      <w:pPr>
        <w:spacing w:before="160"/>
      </w:pPr>
    </w:p>
    <w:p w14:paraId="25C4FC60" w14:textId="77777777" w:rsidR="00F40872" w:rsidRDefault="00E21286">
      <w:pPr>
        <w:pStyle w:val="Heading2"/>
      </w:pPr>
      <w:r>
        <w:t>Phase 2: Round-Trip (Adjusted)</w:t>
      </w:r>
    </w:p>
    <w:p w14:paraId="1112A773" w14:textId="77777777" w:rsidR="00F40872" w:rsidRDefault="00E21286">
      <w:pPr>
        <w:pStyle w:val="ListParagraph"/>
        <w:numPr>
          <w:ilvl w:val="0"/>
          <w:numId w:val="2"/>
        </w:numPr>
        <w:spacing w:after="80" w:line="276" w:lineRule="auto"/>
      </w:pPr>
      <w:r>
        <w:rPr>
          <w:color w:val="1F2937"/>
        </w:rPr>
        <w:t>Define explicit fidelity tiers (Tier 1/2/3 as described above)</w:t>
      </w:r>
    </w:p>
    <w:p w14:paraId="13AE9F93" w14:textId="77777777" w:rsidR="00F40872" w:rsidRDefault="00E21286">
      <w:pPr>
        <w:pStyle w:val="ListParagraph"/>
        <w:numPr>
          <w:ilvl w:val="0"/>
          <w:numId w:val="2"/>
        </w:numPr>
        <w:spacing w:after="80" w:line="276" w:lineRule="auto"/>
      </w:pPr>
      <w:r>
        <w:rPr>
          <w:color w:val="1F2937"/>
        </w:rPr>
        <w:t>Version the style sidecar schema from day one</w:t>
      </w:r>
    </w:p>
    <w:p w14:paraId="2D2C981B" w14:textId="77777777" w:rsidR="00F40872" w:rsidRDefault="00E21286">
      <w:pPr>
        <w:pStyle w:val="ListParagraph"/>
        <w:numPr>
          <w:ilvl w:val="0"/>
          <w:numId w:val="2"/>
        </w:numPr>
        <w:spacing w:after="80" w:line="276" w:lineRule="auto"/>
      </w:pPr>
      <w:r>
        <w:rPr>
          <w:color w:val="1F2937"/>
        </w:rPr>
        <w:t>Implement content-addressable anchoring for sidecar data</w:t>
      </w:r>
    </w:p>
    <w:p w14:paraId="22D40526" w14:textId="77777777" w:rsidR="00F40872" w:rsidRDefault="00E21286">
      <w:pPr>
        <w:pStyle w:val="ListParagraph"/>
        <w:numPr>
          <w:ilvl w:val="0"/>
          <w:numId w:val="2"/>
        </w:numPr>
        <w:spacing w:after="80" w:line="276" w:lineRule="auto"/>
      </w:pPr>
      <w:r>
        <w:rPr>
          <w:color w:val="1F2937"/>
        </w:rPr>
        <w:t>Write structural comparison functions before testing round-trip</w:t>
      </w:r>
    </w:p>
    <w:p w14:paraId="3AD64544" w14:textId="77777777" w:rsidR="00F40872" w:rsidRDefault="00F40872">
      <w:pPr>
        <w:spacing w:before="160"/>
      </w:pPr>
    </w:p>
    <w:p w14:paraId="492C1FF6" w14:textId="77777777" w:rsidR="00F40872" w:rsidRDefault="00E21286">
      <w:pPr>
        <w:pStyle w:val="Heading2"/>
      </w:pPr>
      <w:r>
        <w:t>Phase 3: OCR (Adjusted)</w:t>
      </w:r>
    </w:p>
    <w:p w14:paraId="3CD30D8A" w14:textId="77777777" w:rsidR="00F40872" w:rsidRDefault="00E21286">
      <w:pPr>
        <w:pStyle w:val="ListParagraph"/>
        <w:numPr>
          <w:ilvl w:val="0"/>
          <w:numId w:val="2"/>
        </w:numPr>
        <w:spacing w:after="80" w:line="276" w:lineRule="auto"/>
      </w:pPr>
      <w:r>
        <w:rPr>
          <w:color w:val="1F2937"/>
        </w:rPr>
        <w:t>Implement multi-signal OCR detection heuristic (not just text length)</w:t>
      </w:r>
    </w:p>
    <w:p w14:paraId="07BB3390" w14:textId="77777777" w:rsidR="00F40872" w:rsidRDefault="00E21286">
      <w:pPr>
        <w:pStyle w:val="ListParagraph"/>
        <w:numPr>
          <w:ilvl w:val="0"/>
          <w:numId w:val="2"/>
        </w:numPr>
        <w:spacing w:after="80" w:line="276" w:lineRule="auto"/>
      </w:pPr>
      <w:r>
        <w:rPr>
          <w:color w:val="1F2937"/>
        </w:rPr>
        <w:t>Add force-OCR flag per file</w:t>
      </w:r>
    </w:p>
    <w:p w14:paraId="33B5D947" w14:textId="77777777" w:rsidR="00F40872" w:rsidRDefault="00E21286">
      <w:pPr>
        <w:pStyle w:val="ListParagraph"/>
        <w:numPr>
          <w:ilvl w:val="0"/>
          <w:numId w:val="2"/>
        </w:numPr>
        <w:spacing w:after="80" w:line="276" w:lineRule="auto"/>
      </w:pPr>
      <w:r>
        <w:rPr>
          <w:color w:val="1F2937"/>
        </w:rPr>
        <w:t>Use ProcessPoolExecutor for Tesseract calls to avoid blocking the event loop</w:t>
      </w:r>
    </w:p>
    <w:p w14:paraId="625D5AF2" w14:textId="77777777" w:rsidR="00F40872" w:rsidRDefault="00E21286">
      <w:pPr>
        <w:pStyle w:val="ListParagraph"/>
        <w:numPr>
          <w:ilvl w:val="0"/>
          <w:numId w:val="2"/>
        </w:numPr>
        <w:spacing w:after="80" w:line="276" w:lineRule="auto"/>
      </w:pPr>
      <w:r>
        <w:rPr>
          <w:color w:val="1F2937"/>
        </w:rPr>
        <w:t>Set concurrency limit for OCR (Tesseract is memory-hungry)</w:t>
      </w:r>
    </w:p>
    <w:p w14:paraId="3276F42B" w14:textId="77777777" w:rsidR="00F40872" w:rsidRDefault="00F40872">
      <w:pPr>
        <w:spacing w:before="160"/>
      </w:pPr>
    </w:p>
    <w:p w14:paraId="1881F1EF" w14:textId="77777777" w:rsidR="00F40872" w:rsidRDefault="00E21286">
      <w:pPr>
        <w:pStyle w:val="Heading2"/>
      </w:pPr>
      <w:r>
        <w:t>Phases 4–6: Unchanged</w:t>
      </w:r>
    </w:p>
    <w:p w14:paraId="4C2B2F45" w14:textId="77777777" w:rsidR="00F40872" w:rsidRDefault="00E21286">
      <w:pPr>
        <w:spacing w:after="120" w:line="276" w:lineRule="auto"/>
      </w:pPr>
      <w:r>
        <w:rPr>
          <w:color w:val="1F2937"/>
        </w:rPr>
        <w:t>The remaining phases are well-structured. The main addition is: add a file cleanup mechanism in Phase 6, and add Docker documentation to the final polish pass.</w:t>
      </w:r>
    </w:p>
    <w:p w14:paraId="2FC154EA" w14:textId="77777777" w:rsidR="00F40872" w:rsidRDefault="00E21286">
      <w:r>
        <w:br w:type="page"/>
      </w:r>
    </w:p>
    <w:p w14:paraId="26E36F99" w14:textId="77777777" w:rsidR="00F40872" w:rsidRDefault="00E21286">
      <w:pPr>
        <w:pStyle w:val="Heading1"/>
      </w:pPr>
      <w:r>
        <w:t>What the Spec Gets Right</w:t>
      </w:r>
    </w:p>
    <w:p w14:paraId="7E3D0B35" w14:textId="77777777" w:rsidR="00F40872" w:rsidRDefault="00E21286">
      <w:pPr>
        <w:spacing w:after="120" w:line="276" w:lineRule="auto"/>
      </w:pPr>
      <w:r>
        <w:rPr>
          <w:color w:val="1F2937"/>
        </w:rPr>
        <w:t>Worth calling out the strengths, because this spec is well above average.</w:t>
      </w:r>
    </w:p>
    <w:p w14:paraId="06E3ED2A" w14:textId="77777777" w:rsidR="00F40872" w:rsidRDefault="00F40872">
      <w:pPr>
        <w:spacing w:before="160"/>
      </w:pPr>
    </w:p>
    <w:p w14:paraId="710E0FF0" w14:textId="77777777" w:rsidR="00F40872" w:rsidRDefault="00E21286">
      <w:pPr>
        <w:pStyle w:val="ListParagraph"/>
        <w:numPr>
          <w:ilvl w:val="0"/>
          <w:numId w:val="2"/>
        </w:numPr>
        <w:spacing w:after="80" w:line="276" w:lineRule="auto"/>
      </w:pPr>
      <w:r>
        <w:rPr>
          <w:color w:val="1F2937"/>
        </w:rPr>
        <w:t>Per-file granularity in history recording. This is exactly right—if the app crashes mid-batch, completed conversions are already persisted. Many projects get this wrong.</w:t>
      </w:r>
    </w:p>
    <w:p w14:paraId="4386666B" w14:textId="77777777" w:rsidR="00F40872" w:rsidRDefault="00E21286">
      <w:pPr>
        <w:pStyle w:val="ListParagraph"/>
        <w:numPr>
          <w:ilvl w:val="0"/>
          <w:numId w:val="2"/>
        </w:numPr>
        <w:spacing w:after="80" w:line="276" w:lineRule="auto"/>
      </w:pPr>
      <w:r>
        <w:rPr>
          <w:color w:val="1F2937"/>
        </w:rPr>
        <w:t>The debug infrastructure is exceptional. Intermediate file preservation, pipeline inspector, OCR debug view with confidence color-coding, structured logging with request ID propagation—this will save enormous debugging time.</w:t>
      </w:r>
    </w:p>
    <w:p w14:paraId="1613F702" w14:textId="77777777" w:rsidR="00F40872" w:rsidRDefault="00E21286">
      <w:pPr>
        <w:pStyle w:val="ListParagraph"/>
        <w:numPr>
          <w:ilvl w:val="0"/>
          <w:numId w:val="2"/>
        </w:numPr>
        <w:spacing w:after="80" w:line="276" w:lineRule="auto"/>
      </w:pPr>
      <w:r>
        <w:rPr>
          <w:color w:val="1F2937"/>
        </w:rPr>
        <w:t>SQLite as the persistence layer is the right call. Zero config, file-based, easy to back up, and more than sufficient for a single-user tool.</w:t>
      </w:r>
    </w:p>
    <w:p w14:paraId="16F7BCEE" w14:textId="77777777" w:rsidR="00F40872" w:rsidRDefault="00E21286">
      <w:pPr>
        <w:pStyle w:val="ListParagraph"/>
        <w:numPr>
          <w:ilvl w:val="0"/>
          <w:numId w:val="2"/>
        </w:numPr>
        <w:spacing w:after="80" w:line="276" w:lineRule="auto"/>
      </w:pPr>
      <w:r>
        <w:rPr>
          <w:color w:val="1F2937"/>
        </w:rPr>
        <w:t>Phased build order with one format end-to-end before adding the next. This prevents the common trap of building all extractors before having a working pipeline.</w:t>
      </w:r>
    </w:p>
    <w:p w14:paraId="3917A897" w14:textId="77777777" w:rsidR="00F40872" w:rsidRDefault="00E21286">
      <w:pPr>
        <w:pStyle w:val="ListParagraph"/>
        <w:numPr>
          <w:ilvl w:val="0"/>
          <w:numId w:val="2"/>
        </w:numPr>
        <w:spacing w:after="80" w:line="276" w:lineRule="auto"/>
      </w:pPr>
      <w:r>
        <w:rPr>
          <w:color w:val="1F2937"/>
        </w:rPr>
        <w:t>The OCR review UI design is thoughtful. Showing the original image crop alongside the OCR guess, with confidence scores and accept/edit/skip actions, is a good UX pattern.</w:t>
      </w:r>
    </w:p>
    <w:p w14:paraId="5BAB7030" w14:textId="77777777" w:rsidR="00F40872" w:rsidRDefault="00E21286">
      <w:pPr>
        <w:pStyle w:val="ListParagraph"/>
        <w:numPr>
          <w:ilvl w:val="0"/>
          <w:numId w:val="2"/>
        </w:numPr>
        <w:spacing w:after="80" w:line="276" w:lineRule="auto"/>
      </w:pPr>
      <w:r>
        <w:rPr>
          <w:color w:val="1F2937"/>
        </w:rPr>
        <w:t>YAML frontmatter + sidecar JSON + batch manifest is a well-layered metadata system. Each layer serves a distinct purpose.</w:t>
      </w:r>
    </w:p>
    <w:p w14:paraId="5AFBB847" w14:textId="77777777" w:rsidR="00F40872" w:rsidRDefault="00E21286">
      <w:pPr>
        <w:pStyle w:val="ListParagraph"/>
        <w:numPr>
          <w:ilvl w:val="0"/>
          <w:numId w:val="2"/>
        </w:numPr>
        <w:spacing w:after="80" w:line="276" w:lineRule="auto"/>
      </w:pPr>
      <w:r>
        <w:rPr>
          <w:color w:val="1F2937"/>
        </w:rPr>
        <w:t>The "no Pandoc" constraint is reasonable. Library-level access for metadata extraction is important, and Pandoc would be a black box for style round-tripping.</w:t>
      </w:r>
    </w:p>
    <w:p w14:paraId="05D969A4" w14:textId="77777777" w:rsidR="00F40872" w:rsidRDefault="00F40872">
      <w:pPr>
        <w:spacing w:before="200"/>
      </w:pPr>
    </w:p>
    <w:p w14:paraId="00B676FF" w14:textId="77777777" w:rsidR="00F40872" w:rsidRDefault="00E21286">
      <w:pPr>
        <w:pStyle w:val="Heading1"/>
      </w:pPr>
      <w:r>
        <w:t>Next Steps</w:t>
      </w:r>
    </w:p>
    <w:p w14:paraId="72FFD3E0" w14:textId="77777777" w:rsidR="00F40872" w:rsidRDefault="00E21286">
      <w:pPr>
        <w:spacing w:after="120" w:line="276" w:lineRule="auto"/>
      </w:pPr>
      <w:r>
        <w:rPr>
          <w:color w:val="1F2937"/>
        </w:rPr>
        <w:t>Once you've reviewed these findings, I can move directly into building. I'd recommend starting with Phase 0 (Docker setup) and then Phase 1 (Foundation) with the adjustments above. The spec is in good shape—these refinements will save you from the most common pitfalls in document conversion projects.</w:t>
      </w:r>
    </w:p>
    <w:p w14:paraId="5B701DE7" w14:textId="77777777" w:rsidR="00F40872" w:rsidRDefault="00E21286">
      <w:pPr>
        <w:spacing w:after="120" w:line="276" w:lineRule="auto"/>
      </w:pPr>
      <w:r>
        <w:rPr>
          <w:color w:val="1F2937"/>
        </w:rPr>
        <w:t>Let me know if you want me to update the spec document itself with these changes incorporated, or if you'd rather jump into building with these notes as guardrails.</w:t>
      </w:r>
    </w:p>
    <w:sectPr w:rsidR="00F4087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BB5DE" w14:textId="77777777" w:rsidR="00DC4A8B" w:rsidRDefault="00DC4A8B">
      <w:r>
        <w:separator/>
      </w:r>
    </w:p>
  </w:endnote>
  <w:endnote w:type="continuationSeparator" w:id="0">
    <w:p w14:paraId="1F980B5F" w14:textId="77777777" w:rsidR="00DC4A8B" w:rsidRDefault="00DC4A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BB4B6" w14:textId="77777777" w:rsidR="00F40872" w:rsidRDefault="00E21286">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9F23E7">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32F1B" w14:textId="77777777" w:rsidR="00DC4A8B" w:rsidRDefault="00DC4A8B">
      <w:r>
        <w:separator/>
      </w:r>
    </w:p>
  </w:footnote>
  <w:footnote w:type="continuationSeparator" w:id="0">
    <w:p w14:paraId="10B19631" w14:textId="77777777" w:rsidR="00DC4A8B" w:rsidRDefault="00DC4A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CDA6A" w14:textId="77777777" w:rsidR="00F40872" w:rsidRDefault="00E21286">
    <w:pPr>
      <w:jc w:val="right"/>
    </w:pPr>
    <w:r>
      <w:rPr>
        <w:i/>
        <w:iCs/>
        <w:color w:val="6B7280"/>
        <w:sz w:val="18"/>
        <w:szCs w:val="18"/>
      </w:rPr>
      <w:t>MarkFlow Spec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04B61"/>
    <w:multiLevelType w:val="hybridMultilevel"/>
    <w:tmpl w:val="270EBD0E"/>
    <w:lvl w:ilvl="0" w:tplc="51BE802E">
      <w:start w:val="1"/>
      <w:numFmt w:val="bullet"/>
      <w:lvlText w:val="•"/>
      <w:lvlJc w:val="left"/>
      <w:pPr>
        <w:ind w:left="720" w:hanging="360"/>
      </w:pPr>
    </w:lvl>
    <w:lvl w:ilvl="1" w:tplc="066CC2E6">
      <w:numFmt w:val="decimal"/>
      <w:lvlText w:val=""/>
      <w:lvlJc w:val="left"/>
    </w:lvl>
    <w:lvl w:ilvl="2" w:tplc="9F3415A0">
      <w:numFmt w:val="decimal"/>
      <w:lvlText w:val=""/>
      <w:lvlJc w:val="left"/>
    </w:lvl>
    <w:lvl w:ilvl="3" w:tplc="E9144F72">
      <w:numFmt w:val="decimal"/>
      <w:lvlText w:val=""/>
      <w:lvlJc w:val="left"/>
    </w:lvl>
    <w:lvl w:ilvl="4" w:tplc="4C68C580">
      <w:numFmt w:val="decimal"/>
      <w:lvlText w:val=""/>
      <w:lvlJc w:val="left"/>
    </w:lvl>
    <w:lvl w:ilvl="5" w:tplc="5BE6230C">
      <w:numFmt w:val="decimal"/>
      <w:lvlText w:val=""/>
      <w:lvlJc w:val="left"/>
    </w:lvl>
    <w:lvl w:ilvl="6" w:tplc="FCB8CE2A">
      <w:numFmt w:val="decimal"/>
      <w:lvlText w:val=""/>
      <w:lvlJc w:val="left"/>
    </w:lvl>
    <w:lvl w:ilvl="7" w:tplc="BA7EF3E6">
      <w:numFmt w:val="decimal"/>
      <w:lvlText w:val=""/>
      <w:lvlJc w:val="left"/>
    </w:lvl>
    <w:lvl w:ilvl="8" w:tplc="7E342DA4">
      <w:numFmt w:val="decimal"/>
      <w:lvlText w:val=""/>
      <w:lvlJc w:val="left"/>
    </w:lvl>
  </w:abstractNum>
  <w:abstractNum w:abstractNumId="1" w15:restartNumberingAfterBreak="0">
    <w:nsid w:val="71F927A7"/>
    <w:multiLevelType w:val="hybridMultilevel"/>
    <w:tmpl w:val="E8941CDC"/>
    <w:lvl w:ilvl="0" w:tplc="9CC6FAA6">
      <w:start w:val="1"/>
      <w:numFmt w:val="bullet"/>
      <w:lvlText w:val="●"/>
      <w:lvlJc w:val="left"/>
      <w:pPr>
        <w:ind w:left="720" w:hanging="360"/>
      </w:pPr>
    </w:lvl>
    <w:lvl w:ilvl="1" w:tplc="6FD6F53C">
      <w:start w:val="1"/>
      <w:numFmt w:val="bullet"/>
      <w:lvlText w:val="○"/>
      <w:lvlJc w:val="left"/>
      <w:pPr>
        <w:ind w:left="1440" w:hanging="360"/>
      </w:pPr>
    </w:lvl>
    <w:lvl w:ilvl="2" w:tplc="B7609376">
      <w:start w:val="1"/>
      <w:numFmt w:val="bullet"/>
      <w:lvlText w:val="■"/>
      <w:lvlJc w:val="left"/>
      <w:pPr>
        <w:ind w:left="2160" w:hanging="360"/>
      </w:pPr>
    </w:lvl>
    <w:lvl w:ilvl="3" w:tplc="AD90F9C6">
      <w:start w:val="1"/>
      <w:numFmt w:val="bullet"/>
      <w:lvlText w:val="●"/>
      <w:lvlJc w:val="left"/>
      <w:pPr>
        <w:ind w:left="2880" w:hanging="360"/>
      </w:pPr>
    </w:lvl>
    <w:lvl w:ilvl="4" w:tplc="D6806348">
      <w:start w:val="1"/>
      <w:numFmt w:val="bullet"/>
      <w:lvlText w:val="○"/>
      <w:lvlJc w:val="left"/>
      <w:pPr>
        <w:ind w:left="3600" w:hanging="360"/>
      </w:pPr>
    </w:lvl>
    <w:lvl w:ilvl="5" w:tplc="2C703FF4">
      <w:start w:val="1"/>
      <w:numFmt w:val="bullet"/>
      <w:lvlText w:val="■"/>
      <w:lvlJc w:val="left"/>
      <w:pPr>
        <w:ind w:left="4320" w:hanging="360"/>
      </w:pPr>
    </w:lvl>
    <w:lvl w:ilvl="6" w:tplc="DFF678C8">
      <w:start w:val="1"/>
      <w:numFmt w:val="bullet"/>
      <w:lvlText w:val="●"/>
      <w:lvlJc w:val="left"/>
      <w:pPr>
        <w:ind w:left="5040" w:hanging="360"/>
      </w:pPr>
    </w:lvl>
    <w:lvl w:ilvl="7" w:tplc="262CBC06">
      <w:start w:val="1"/>
      <w:numFmt w:val="bullet"/>
      <w:lvlText w:val="●"/>
      <w:lvlJc w:val="left"/>
      <w:pPr>
        <w:ind w:left="5760" w:hanging="360"/>
      </w:pPr>
    </w:lvl>
    <w:lvl w:ilvl="8" w:tplc="CD0CD002">
      <w:start w:val="1"/>
      <w:numFmt w:val="bullet"/>
      <w:lvlText w:val="●"/>
      <w:lvlJc w:val="left"/>
      <w:pPr>
        <w:ind w:left="6480" w:hanging="360"/>
      </w:pPr>
    </w:lvl>
  </w:abstractNum>
  <w:abstractNum w:abstractNumId="2" w15:restartNumberingAfterBreak="0">
    <w:nsid w:val="76F3245D"/>
    <w:multiLevelType w:val="hybridMultilevel"/>
    <w:tmpl w:val="7E6C5656"/>
    <w:lvl w:ilvl="0" w:tplc="8516392C">
      <w:start w:val="1"/>
      <w:numFmt w:val="decimal"/>
      <w:lvlText w:val="%1."/>
      <w:lvlJc w:val="left"/>
      <w:pPr>
        <w:ind w:left="720" w:hanging="360"/>
      </w:pPr>
    </w:lvl>
    <w:lvl w:ilvl="1" w:tplc="9F006C90">
      <w:numFmt w:val="decimal"/>
      <w:lvlText w:val=""/>
      <w:lvlJc w:val="left"/>
    </w:lvl>
    <w:lvl w:ilvl="2" w:tplc="2F66AB8E">
      <w:numFmt w:val="decimal"/>
      <w:lvlText w:val=""/>
      <w:lvlJc w:val="left"/>
    </w:lvl>
    <w:lvl w:ilvl="3" w:tplc="D3EC8A32">
      <w:numFmt w:val="decimal"/>
      <w:lvlText w:val=""/>
      <w:lvlJc w:val="left"/>
    </w:lvl>
    <w:lvl w:ilvl="4" w:tplc="261A257E">
      <w:numFmt w:val="decimal"/>
      <w:lvlText w:val=""/>
      <w:lvlJc w:val="left"/>
    </w:lvl>
    <w:lvl w:ilvl="5" w:tplc="DAD00D12">
      <w:numFmt w:val="decimal"/>
      <w:lvlText w:val=""/>
      <w:lvlJc w:val="left"/>
    </w:lvl>
    <w:lvl w:ilvl="6" w:tplc="AC98EE4A">
      <w:numFmt w:val="decimal"/>
      <w:lvlText w:val=""/>
      <w:lvlJc w:val="left"/>
    </w:lvl>
    <w:lvl w:ilvl="7" w:tplc="1A2440FC">
      <w:numFmt w:val="decimal"/>
      <w:lvlText w:val=""/>
      <w:lvlJc w:val="left"/>
    </w:lvl>
    <w:lvl w:ilvl="8" w:tplc="85E650F0">
      <w:numFmt w:val="decimal"/>
      <w:lvlText w:val=""/>
      <w:lvlJc w:val="left"/>
    </w:lvl>
  </w:abstractNum>
  <w:num w:numId="1" w16cid:durableId="1859809991">
    <w:abstractNumId w:val="1"/>
    <w:lvlOverride w:ilvl="0">
      <w:startOverride w:val="1"/>
    </w:lvlOverride>
  </w:num>
  <w:num w:numId="2" w16cid:durableId="14667718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872"/>
    <w:rsid w:val="00137BC0"/>
    <w:rsid w:val="005E7FB9"/>
    <w:rsid w:val="009E0595"/>
    <w:rsid w:val="009F23E7"/>
    <w:rsid w:val="00B262DB"/>
    <w:rsid w:val="00DC4A8B"/>
    <w:rsid w:val="00E21286"/>
    <w:rsid w:val="00F40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A5AFF"/>
  <w15:docId w15:val="{A29ABB0E-4BFF-4E9A-8907-314F7417B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2937"/>
      <w:sz w:val="32"/>
      <w:szCs w:val="32"/>
    </w:rPr>
  </w:style>
  <w:style w:type="paragraph" w:styleId="Heading2">
    <w:name w:val="heading 2"/>
    <w:uiPriority w:val="9"/>
    <w:unhideWhenUsed/>
    <w:qFormat/>
    <w:pPr>
      <w:spacing w:before="280" w:after="160"/>
      <w:outlineLvl w:val="1"/>
    </w:pPr>
    <w:rPr>
      <w:b/>
      <w:bCs/>
      <w:color w:val="2563E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2586</Words>
  <Characters>15309</Characters>
  <Application>Microsoft Office Word</Application>
  <DocSecurity>0</DocSecurity>
  <Lines>367</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Xerxes Shelley</cp:lastModifiedBy>
  <cp:revision>1</cp:revision>
  <dcterms:created xsi:type="dcterms:W3CDTF">2026-03-23T19:49:00Z</dcterms:created>
  <dcterms:modified xsi:type="dcterms:W3CDTF">2026-04-09T18:41:00Z</dcterms:modified>
</cp:coreProperties>
</file>