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after="100"/>
        <w:jc w:val="center"/>
      </w:pPr>
      <w:r>
        <w:rPr>
          <w:rFonts w:ascii="Arial" w:cs="Arial" w:eastAsia="Arial" w:hAnsi="Arial"/>
          <w:b/>
          <w:bCs/>
          <w:color w:val="1B3A5C"/>
          <w:sz w:val="36"/>
          <w:szCs w:val="36"/>
        </w:rPr>
        <w:t xml:space="preserve">UNIONCORE — IP2A Database v2</w:t>
      </w:r>
    </w:p>
    <w:p>
      <w:pPr>
        <w:spacing w:after="200"/>
        <w:jc w:val="center"/>
      </w:pPr>
      <w:r>
        <w:rPr>
          <w:rFonts w:ascii="Arial" w:cs="Arial" w:eastAsia="Arial" w:hAnsi="Arial"/>
          <w:color w:val="2E6B9E"/>
          <w:sz w:val="30"/>
          <w:szCs w:val="30"/>
        </w:rPr>
        <w:t xml:space="preserve">LaborPower Data Analysis &amp; Schema Guidance</w:t>
      </w:r>
    </w:p>
    <w:p>
      <w:pPr>
        <w:spacing w:after="60"/>
        <w:jc w:val="center"/>
      </w:pPr>
      <w:r>
        <w:rPr>
          <w:rFonts w:ascii="Arial" w:cs="Arial" w:eastAsia="Arial" w:hAnsi="Arial"/>
          <w:color w:val="2E6B9E"/>
          <w:sz w:val="26"/>
          <w:szCs w:val="26"/>
        </w:rPr>
        <w:t xml:space="preserve">Volume 2 — Batch 2 Data Extraction</w:t>
      </w:r>
    </w:p>
    <w:p>
      <w:pPr>
        <w:spacing w:before="40" w:after="40"/>
      </w:pPr>
    </w:p>
    <w:p>
      <w:pPr>
        <w:spacing w:before="40" w:after="40"/>
      </w:pP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71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Date</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February 2, 2026</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Analyst</w:t>
            </w:r>
          </w:p>
        </w:tc>
        <w:tc>
          <w:tcPr>
            <w:tcW w:type="dxa" w:w="7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Claude (Opus 4.5) for Xerxes / IBEW Local 46</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Status</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Schema Corrections Required Before DDL Lock</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Input</w:t>
            </w:r>
          </w:p>
        </w:tc>
        <w:tc>
          <w:tcPr>
            <w:tcW w:type="dxa" w:w="7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 LaborPower PDF Exports (7 Employer Lists + 5 Registration Lists)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Repository</w:t>
            </w:r>
          </w:p>
        </w:tc>
        <w:tc>
          <w:tcPr>
            <w:tcW w:type="dxa" w:w="7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github.com/theace26/IP2A-Database-v2</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Supersedes</w:t>
            </w:r>
          </w:p>
        </w:tc>
        <w:tc>
          <w:tcPr>
            <w:tcW w:type="dxa" w:w="7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Supplements Volume 1 (Continuity Document, Feb 3, 2026)</w:t>
            </w:r>
          </w:p>
        </w:tc>
      </w:tr>
    </w:tbl>
    <w:p>
      <w:r>
        <w:br w:type="page"/>
      </w:r>
    </w:p>
    <w:p>
      <w:pPr>
        <w:pStyle w:val="Heading1"/>
        <w:spacing w:before="200" w:after="100"/>
      </w:pPr>
      <w:r>
        <w:t xml:space="preserve">TABLE OF CONTENTS</w:t>
      </w:r>
    </w:p>
    <w:p>
      <w:pPr>
        <w:spacing w:before="80" w:after="80"/>
        <w:ind w:left="360"/>
        <w:jc w:val="left"/>
      </w:pPr>
      <w:r>
        <w:rPr>
          <w:rFonts w:ascii="Arial" w:cs="Arial" w:eastAsia="Arial" w:hAnsi="Arial"/>
          <w:b w:val="false"/>
          <w:bCs w:val="false"/>
          <w:i w:val="false"/>
          <w:iCs w:val="false"/>
          <w:color w:val="000000"/>
          <w:sz w:val="21"/>
          <w:szCs w:val="21"/>
        </w:rPr>
        <w:t xml:space="preserve">1. Executive Summary</w:t>
      </w:r>
    </w:p>
    <w:p>
      <w:pPr>
        <w:spacing w:before="80" w:after="80"/>
        <w:ind w:left="360"/>
        <w:jc w:val="left"/>
      </w:pPr>
      <w:r>
        <w:rPr>
          <w:rFonts w:ascii="Arial" w:cs="Arial" w:eastAsia="Arial" w:hAnsi="Arial"/>
          <w:b w:val="false"/>
          <w:bCs w:val="false"/>
          <w:i w:val="false"/>
          <w:iCs w:val="false"/>
          <w:color w:val="000000"/>
          <w:sz w:val="21"/>
          <w:szCs w:val="21"/>
        </w:rPr>
        <w:t xml:space="preserve">2. Data Sources Analyzed</w:t>
      </w:r>
    </w:p>
    <w:p>
      <w:pPr>
        <w:spacing w:before="80" w:after="80"/>
        <w:ind w:left="360"/>
        <w:jc w:val="left"/>
      </w:pPr>
      <w:r>
        <w:rPr>
          <w:rFonts w:ascii="Arial" w:cs="Arial" w:eastAsia="Arial" w:hAnsi="Arial"/>
          <w:b w:val="false"/>
          <w:bCs w:val="false"/>
          <w:i w:val="false"/>
          <w:iCs w:val="false"/>
          <w:color w:val="000000"/>
          <w:sz w:val="21"/>
          <w:szCs w:val="21"/>
        </w:rPr>
        <w:t xml:space="preserve">3. Employer List Analysis — 8 Contract Codes</w:t>
      </w:r>
    </w:p>
    <w:p>
      <w:pPr>
        <w:spacing w:before="80" w:after="80"/>
        <w:ind w:left="360"/>
        <w:jc w:val="left"/>
      </w:pPr>
      <w:r>
        <w:rPr>
          <w:rFonts w:ascii="Arial" w:cs="Arial" w:eastAsia="Arial" w:hAnsi="Arial"/>
          <w:b w:val="false"/>
          <w:bCs w:val="false"/>
          <w:i w:val="false"/>
          <w:iCs w:val="false"/>
          <w:color w:val="000000"/>
          <w:sz w:val="21"/>
          <w:szCs w:val="21"/>
        </w:rPr>
        <w:t xml:space="preserve">4. Registration List Analysis — 5 Books (3 New)</w:t>
      </w:r>
    </w:p>
    <w:p>
      <w:pPr>
        <w:spacing w:before="80" w:after="80"/>
        <w:ind w:left="360"/>
        <w:jc w:val="left"/>
      </w:pPr>
      <w:r>
        <w:rPr>
          <w:rFonts w:ascii="Arial" w:cs="Arial" w:eastAsia="Arial" w:hAnsi="Arial"/>
          <w:b w:val="false"/>
          <w:bCs w:val="false"/>
          <w:i w:val="false"/>
          <w:iCs w:val="false"/>
          <w:color w:val="000000"/>
          <w:sz w:val="21"/>
          <w:szCs w:val="21"/>
        </w:rPr>
        <w:t xml:space="preserve">5. Critical Finding: APN 45880.41 — The Super-Registrant</w:t>
      </w:r>
    </w:p>
    <w:p>
      <w:pPr>
        <w:spacing w:before="80" w:after="80"/>
        <w:ind w:left="360"/>
        <w:jc w:val="left"/>
      </w:pPr>
      <w:r>
        <w:rPr>
          <w:rFonts w:ascii="Arial" w:cs="Arial" w:eastAsia="Arial" w:hAnsi="Arial"/>
          <w:b w:val="false"/>
          <w:bCs w:val="false"/>
          <w:i w:val="false"/>
          <w:iCs w:val="false"/>
          <w:color w:val="000000"/>
          <w:sz w:val="21"/>
          <w:szCs w:val="21"/>
        </w:rPr>
        <w:t xml:space="preserve">6. Critical Finding: TECHNICIAN ↔ TRADESHOW Cross-Registration</w:t>
      </w:r>
    </w:p>
    <w:p>
      <w:pPr>
        <w:spacing w:before="80" w:after="80"/>
        <w:ind w:left="360"/>
        <w:jc w:val="left"/>
      </w:pPr>
      <w:r>
        <w:rPr>
          <w:rFonts w:ascii="Arial" w:cs="Arial" w:eastAsia="Arial" w:hAnsi="Arial"/>
          <w:b w:val="false"/>
          <w:bCs w:val="false"/>
          <w:i w:val="false"/>
          <w:iCs w:val="false"/>
          <w:color w:val="000000"/>
          <w:sz w:val="21"/>
          <w:szCs w:val="21"/>
        </w:rPr>
        <w:t xml:space="preserve">7. Critical Finding: RESIDENTIAL — 8th Contract Code</w:t>
      </w:r>
    </w:p>
    <w:p>
      <w:pPr>
        <w:spacing w:before="80" w:after="80"/>
        <w:ind w:left="360"/>
        <w:jc w:val="left"/>
      </w:pPr>
      <w:r>
        <w:rPr>
          <w:rFonts w:ascii="Arial" w:cs="Arial" w:eastAsia="Arial" w:hAnsi="Arial"/>
          <w:b w:val="false"/>
          <w:bCs w:val="false"/>
          <w:i w:val="false"/>
          <w:iCs w:val="false"/>
          <w:color w:val="000000"/>
          <w:sz w:val="21"/>
          <w:szCs w:val="21"/>
        </w:rPr>
        <w:t xml:space="preserve">8. Critical Finding: Book Name ≠ Contract Code</w:t>
      </w:r>
    </w:p>
    <w:p>
      <w:pPr>
        <w:spacing w:before="80" w:after="80"/>
        <w:ind w:left="360"/>
        <w:jc w:val="left"/>
      </w:pPr>
      <w:r>
        <w:rPr>
          <w:rFonts w:ascii="Arial" w:cs="Arial" w:eastAsia="Arial" w:hAnsi="Arial"/>
          <w:b w:val="false"/>
          <w:bCs w:val="false"/>
          <w:i w:val="false"/>
          <w:iCs w:val="false"/>
          <w:color w:val="000000"/>
          <w:sz w:val="21"/>
          <w:szCs w:val="21"/>
        </w:rPr>
        <w:t xml:space="preserve">9. Critical Finding: TERO APPR WIRE — Compound Book Type</w:t>
      </w:r>
    </w:p>
    <w:p>
      <w:pPr>
        <w:spacing w:before="80" w:after="80"/>
        <w:ind w:left="360"/>
        <w:jc w:val="left"/>
      </w:pPr>
      <w:r>
        <w:rPr>
          <w:rFonts w:ascii="Arial" w:cs="Arial" w:eastAsia="Arial" w:hAnsi="Arial"/>
          <w:b w:val="false"/>
          <w:bCs w:val="false"/>
          <w:i w:val="false"/>
          <w:iCs w:val="false"/>
          <w:color w:val="000000"/>
          <w:sz w:val="21"/>
          <w:szCs w:val="21"/>
        </w:rPr>
        <w:t xml:space="preserve">10. Critical Finding: Duplicate Employer Records</w:t>
      </w:r>
    </w:p>
    <w:p>
      <w:pPr>
        <w:spacing w:before="80" w:after="80"/>
        <w:ind w:left="360"/>
        <w:jc w:val="left"/>
      </w:pPr>
      <w:r>
        <w:rPr>
          <w:rFonts w:ascii="Arial" w:cs="Arial" w:eastAsia="Arial" w:hAnsi="Arial"/>
          <w:b w:val="false"/>
          <w:bCs w:val="false"/>
          <w:i w:val="false"/>
          <w:iCs w:val="false"/>
          <w:color w:val="000000"/>
          <w:sz w:val="21"/>
          <w:szCs w:val="21"/>
        </w:rPr>
        <w:t xml:space="preserve">11. Updated Tier Distribution Analysis</w:t>
      </w:r>
    </w:p>
    <w:p>
      <w:pPr>
        <w:spacing w:before="80" w:after="80"/>
        <w:ind w:left="360"/>
        <w:jc w:val="left"/>
      </w:pPr>
      <w:r>
        <w:rPr>
          <w:rFonts w:ascii="Arial" w:cs="Arial" w:eastAsia="Arial" w:hAnsi="Arial"/>
          <w:b w:val="false"/>
          <w:bCs w:val="false"/>
          <w:i w:val="false"/>
          <w:iCs w:val="false"/>
          <w:color w:val="000000"/>
          <w:sz w:val="21"/>
          <w:szCs w:val="21"/>
        </w:rPr>
        <w:t xml:space="preserve">12. APN Decimal Range Update</w:t>
      </w:r>
    </w:p>
    <w:p>
      <w:pPr>
        <w:spacing w:before="80" w:after="80"/>
        <w:ind w:left="360"/>
        <w:jc w:val="left"/>
      </w:pPr>
      <w:r>
        <w:rPr>
          <w:rFonts w:ascii="Arial" w:cs="Arial" w:eastAsia="Arial" w:hAnsi="Arial"/>
          <w:b w:val="false"/>
          <w:bCs w:val="false"/>
          <w:i w:val="false"/>
          <w:iCs w:val="false"/>
          <w:color w:val="000000"/>
          <w:sz w:val="21"/>
          <w:szCs w:val="21"/>
        </w:rPr>
        <w:t xml:space="preserve">13. Combined Statistics — Both Batches</w:t>
      </w:r>
    </w:p>
    <w:p>
      <w:pPr>
        <w:spacing w:before="80" w:after="80"/>
        <w:ind w:left="360"/>
        <w:jc w:val="left"/>
      </w:pPr>
      <w:r>
        <w:rPr>
          <w:rFonts w:ascii="Arial" w:cs="Arial" w:eastAsia="Arial" w:hAnsi="Arial"/>
          <w:b w:val="false"/>
          <w:bCs w:val="false"/>
          <w:i w:val="false"/>
          <w:iCs w:val="false"/>
          <w:color w:val="000000"/>
          <w:sz w:val="21"/>
          <w:szCs w:val="21"/>
        </w:rPr>
        <w:t xml:space="preserve">14. Complete Book &amp; Contract Catalogs</w:t>
      </w:r>
    </w:p>
    <w:p>
      <w:pPr>
        <w:spacing w:before="80" w:after="80"/>
        <w:ind w:left="360"/>
        <w:jc w:val="left"/>
      </w:pPr>
      <w:r>
        <w:rPr>
          <w:rFonts w:ascii="Arial" w:cs="Arial" w:eastAsia="Arial" w:hAnsi="Arial"/>
          <w:b w:val="false"/>
          <w:bCs w:val="false"/>
          <w:i w:val="false"/>
          <w:iCs w:val="false"/>
          <w:color w:val="000000"/>
          <w:sz w:val="21"/>
          <w:szCs w:val="21"/>
        </w:rPr>
        <w:t xml:space="preserve">15. Updated Schema Corrections</w:t>
      </w:r>
    </w:p>
    <w:p>
      <w:pPr>
        <w:spacing w:before="80" w:after="80"/>
        <w:ind w:left="360"/>
        <w:jc w:val="left"/>
      </w:pPr>
      <w:r>
        <w:rPr>
          <w:rFonts w:ascii="Arial" w:cs="Arial" w:eastAsia="Arial" w:hAnsi="Arial"/>
          <w:b w:val="false"/>
          <w:bCs w:val="false"/>
          <w:i w:val="false"/>
          <w:iCs w:val="false"/>
          <w:color w:val="000000"/>
          <w:sz w:val="21"/>
          <w:szCs w:val="21"/>
        </w:rPr>
        <w:t xml:space="preserve">16. Seed Data — referral_books Table</w:t>
      </w:r>
    </w:p>
    <w:p>
      <w:pPr>
        <w:spacing w:before="80" w:after="80"/>
        <w:ind w:left="360"/>
        <w:jc w:val="left"/>
      </w:pPr>
      <w:r>
        <w:rPr>
          <w:rFonts w:ascii="Arial" w:cs="Arial" w:eastAsia="Arial" w:hAnsi="Arial"/>
          <w:b w:val="false"/>
          <w:bCs w:val="false"/>
          <w:i w:val="false"/>
          <w:iCs w:val="false"/>
          <w:color w:val="000000"/>
          <w:sz w:val="21"/>
          <w:szCs w:val="21"/>
        </w:rPr>
        <w:t xml:space="preserve">17. Updated Data Gap List</w:t>
      </w:r>
    </w:p>
    <w:p>
      <w:pPr>
        <w:spacing w:before="80" w:after="80"/>
        <w:ind w:left="360"/>
        <w:jc w:val="left"/>
      </w:pPr>
      <w:r>
        <w:rPr>
          <w:rFonts w:ascii="Arial" w:cs="Arial" w:eastAsia="Arial" w:hAnsi="Arial"/>
          <w:b w:val="false"/>
          <w:bCs w:val="false"/>
          <w:i w:val="false"/>
          <w:iCs w:val="false"/>
          <w:color w:val="000000"/>
          <w:sz w:val="21"/>
          <w:szCs w:val="21"/>
        </w:rPr>
        <w:t xml:space="preserve">18. Recommended Next Steps</w:t>
      </w:r>
    </w:p>
    <w:p>
      <w:r>
        <w:br w:type="page"/>
      </w:r>
    </w:p>
    <w:p>
      <w:pPr>
        <w:pStyle w:val="Heading1"/>
        <w:spacing w:before="200" w:after="100"/>
      </w:pPr>
      <w:r>
        <w:t xml:space="preserve">1. Executive Summary</w:t>
      </w:r>
    </w:p>
    <w:p>
      <w:pPr>
        <w:spacing w:before="80" w:after="80"/>
        <w:jc w:val="left"/>
      </w:pPr>
      <w:r>
        <w:rPr>
          <w:rFonts w:ascii="Arial" w:cs="Arial" w:eastAsia="Arial" w:hAnsi="Arial"/>
          <w:b w:val="false"/>
          <w:bCs w:val="false"/>
          <w:i w:val="false"/>
          <w:iCs w:val="false"/>
          <w:color w:val="000000"/>
          <w:sz w:val="22"/>
          <w:szCs w:val="22"/>
        </w:rPr>
        <w:t xml:space="preserve">This document analyzes 12 LaborPower production data exports from February 2, 2026, comprising 7 employer contract lists and 5 out-of-work registration lists. This is the second batch of data extraction; the first batch (analyzed in the Continuity Document) covered Wire regional books, Technician, and Utility Worker registration lists plus 7 employer contract code lists.</w:t>
      </w:r>
    </w:p>
    <w:p>
      <w:pPr>
        <w:spacing w:before="120" w:after="80"/>
        <w:jc w:val="left"/>
      </w:pPr>
      <w:r>
        <w:rPr>
          <w:rFonts w:ascii="Arial" w:cs="Arial" w:eastAsia="Arial" w:hAnsi="Arial"/>
          <w:b w:val="false"/>
          <w:bCs w:val="false"/>
          <w:i w:val="false"/>
          <w:iCs w:val="false"/>
          <w:color w:val="000000"/>
          <w:sz w:val="22"/>
          <w:szCs w:val="22"/>
        </w:rPr>
        <w:t xml:space="preserve">This batch introduces significant new data and reveals six critical findings that require schema corrections before DDL lock:</w:t>
      </w:r>
    </w:p>
    <w:p>
      <w:pPr>
        <w:pStyle w:val="ListParagraph"/>
        <w:numPr>
          <w:ilvl w:val="0"/>
          <w:numId w:val="2"/>
        </w:numPr>
        <w:spacing w:before="40" w:after="40"/>
      </w:pPr>
      <w:r>
        <w:rPr>
          <w:rFonts w:ascii="Arial" w:cs="Arial" w:eastAsia="Arial" w:hAnsi="Arial"/>
          <w:b/>
          <w:bCs/>
          <w:sz w:val="22"/>
          <w:szCs w:val="22"/>
        </w:rPr>
        <w:t xml:space="preserve">RESIDENTIAL is the 8th contract code </w:t>
      </w:r>
      <w:r>
        <w:rPr>
          <w:rFonts w:ascii="Arial" w:cs="Arial" w:eastAsia="Arial" w:hAnsi="Arial"/>
          <w:sz w:val="22"/>
          <w:szCs w:val="22"/>
        </w:rPr>
        <w:t xml:space="preserve">— 259 unique employers, 52 residential-only. Completely missing from all prior documentation.</w:t>
      </w:r>
    </w:p>
    <w:p>
      <w:pPr>
        <w:pStyle w:val="ListParagraph"/>
        <w:numPr>
          <w:ilvl w:val="0"/>
          <w:numId w:val="2"/>
        </w:numPr>
        <w:spacing w:before="40" w:after="40"/>
      </w:pPr>
      <w:r>
        <w:rPr>
          <w:rFonts w:ascii="Arial" w:cs="Arial" w:eastAsia="Arial" w:hAnsi="Arial"/>
          <w:b/>
          <w:bCs/>
          <w:sz w:val="22"/>
          <w:szCs w:val="22"/>
        </w:rPr>
        <w:t xml:space="preserve">APN 45880.41 appears on 4 books simultaneously </w:t>
      </w:r>
      <w:r>
        <w:rPr>
          <w:rFonts w:ascii="Arial" w:cs="Arial" w:eastAsia="Arial" w:hAnsi="Arial"/>
          <w:sz w:val="22"/>
          <w:szCs w:val="22"/>
        </w:rPr>
        <w:t xml:space="preserve">— almost certainly one member registered across Technician, TERO Appr Wire, Tradeshow, and Utility Worker on August 11, 2025. Validates many-to-many model.</w:t>
      </w:r>
    </w:p>
    <w:p>
      <w:pPr>
        <w:pStyle w:val="ListParagraph"/>
        <w:numPr>
          <w:ilvl w:val="0"/>
          <w:numId w:val="2"/>
        </w:numPr>
        <w:spacing w:before="40" w:after="40"/>
      </w:pPr>
      <w:r>
        <w:rPr>
          <w:rFonts w:ascii="Arial" w:cs="Arial" w:eastAsia="Arial" w:hAnsi="Arial"/>
          <w:b/>
          <w:bCs/>
          <w:sz w:val="22"/>
          <w:szCs w:val="22"/>
        </w:rPr>
        <w:t xml:space="preserve">95 shared APNs between Technician and Tradeshow </w:t>
      </w:r>
      <w:r>
        <w:rPr>
          <w:rFonts w:ascii="Arial" w:cs="Arial" w:eastAsia="Arial" w:hAnsi="Arial"/>
          <w:sz w:val="22"/>
          <w:szCs w:val="22"/>
        </w:rPr>
        <w:t xml:space="preserve">— 36.5% overlap. Tradeshow functions as a supplemental registration, not a primary classification.</w:t>
      </w:r>
    </w:p>
    <w:p>
      <w:pPr>
        <w:pStyle w:val="ListParagraph"/>
        <w:numPr>
          <w:ilvl w:val="0"/>
          <w:numId w:val="2"/>
        </w:numPr>
        <w:spacing w:before="40" w:after="40"/>
      </w:pPr>
      <w:r>
        <w:rPr>
          <w:rFonts w:ascii="Arial" w:cs="Arial" w:eastAsia="Arial" w:hAnsi="Arial"/>
          <w:b/>
          <w:bCs/>
          <w:sz w:val="22"/>
          <w:szCs w:val="22"/>
        </w:rPr>
        <w:t xml:space="preserve">Book names ≠ contract codes </w:t>
      </w:r>
      <w:r>
        <w:rPr>
          <w:rFonts w:ascii="Arial" w:cs="Arial" w:eastAsia="Arial" w:hAnsi="Arial"/>
          <w:sz w:val="22"/>
          <w:szCs w:val="22"/>
        </w:rPr>
        <w:t xml:space="preserve">— STOCKMAN book maps to STOCKPERSON contract. Schema needs explicit book_name, classification, and contract_code as separate columns.</w:t>
      </w:r>
    </w:p>
    <w:p>
      <w:pPr>
        <w:pStyle w:val="ListParagraph"/>
        <w:numPr>
          <w:ilvl w:val="0"/>
          <w:numId w:val="2"/>
        </w:numPr>
        <w:spacing w:before="40" w:after="40"/>
      </w:pPr>
      <w:r>
        <w:rPr>
          <w:rFonts w:ascii="Arial" w:cs="Arial" w:eastAsia="Arial" w:hAnsi="Arial"/>
          <w:b/>
          <w:bCs/>
          <w:sz w:val="22"/>
          <w:szCs w:val="22"/>
        </w:rPr>
        <w:t xml:space="preserve">TERO APPR WIRE is a compound book type </w:t>
      </w:r>
      <w:r>
        <w:rPr>
          <w:rFonts w:ascii="Arial" w:cs="Arial" w:eastAsia="Arial" w:hAnsi="Arial"/>
          <w:sz w:val="22"/>
          <w:szCs w:val="22"/>
        </w:rPr>
        <w:t xml:space="preserve">— encodes agreement type (TERO) + work level (APPRENTICE) + classification (WIRE). Schema needs agreement_type and work_level fields.</w:t>
      </w:r>
    </w:p>
    <w:p>
      <w:pPr>
        <w:pStyle w:val="ListParagraph"/>
        <w:numPr>
          <w:ilvl w:val="0"/>
          <w:numId w:val="2"/>
        </w:numPr>
        <w:spacing w:before="40" w:after="40"/>
      </w:pPr>
      <w:r>
        <w:rPr>
          <w:rFonts w:ascii="Arial" w:cs="Arial" w:eastAsia="Arial" w:hAnsi="Arial"/>
          <w:b/>
          <w:bCs/>
          <w:sz w:val="22"/>
          <w:szCs w:val="22"/>
        </w:rPr>
        <w:t xml:space="preserve">Inverted tier distribution confirmed for STOCKMAN </w:t>
      </w:r>
      <w:r>
        <w:rPr>
          <w:rFonts w:ascii="Arial" w:cs="Arial" w:eastAsia="Arial" w:hAnsi="Arial"/>
          <w:sz w:val="22"/>
          <w:szCs w:val="22"/>
        </w:rPr>
        <w:t xml:space="preserve">— Book 3 has 8.6× the members of Book 1, strongly supporting the Book 3 = Travelers hypothesis.</w:t>
      </w:r>
    </w:p>
    <w:p>
      <w:pPr>
        <w:spacing w:before="120" w:after="80"/>
        <w:jc w:val="left"/>
      </w:pPr>
      <w:r>
        <w:rPr>
          <w:rFonts w:ascii="Arial" w:cs="Arial" w:eastAsia="Arial" w:hAnsi="Arial"/>
          <w:b/>
          <w:bCs/>
          <w:i w:val="false"/>
          <w:iCs w:val="false"/>
          <w:color w:val="000000"/>
          <w:sz w:val="22"/>
          <w:szCs w:val="22"/>
        </w:rPr>
        <w:t xml:space="preserve">The three Priority 1 blocking gaps (REGLIST with member IDs, RAW DISPATCH DATA, EMPLOYCONTRACT) remain unresolved. Schema DDL cannot be locked until these are obtained.</w:t>
      </w:r>
    </w:p>
    <w:p>
      <w:r>
        <w:br w:type="page"/>
      </w:r>
    </w:p>
    <w:p>
      <w:pPr>
        <w:pStyle w:val="Heading1"/>
        <w:spacing w:before="200" w:after="100"/>
      </w:pPr>
      <w:r>
        <w:t xml:space="preserve">2. Data Sources Analyzed</w:t>
      </w:r>
    </w:p>
    <w:p>
      <w:pPr>
        <w:spacing w:before="80" w:after="80"/>
        <w:jc w:val="left"/>
      </w:pPr>
      <w:r>
        <w:rPr>
          <w:rFonts w:ascii="Arial" w:cs="Arial" w:eastAsia="Arial" w:hAnsi="Arial"/>
          <w:b w:val="false"/>
          <w:bCs w:val="false"/>
          <w:i w:val="false"/>
          <w:iCs w:val="false"/>
          <w:color w:val="000000"/>
          <w:sz w:val="22"/>
          <w:szCs w:val="22"/>
        </w:rPr>
        <w:t xml:space="preserve">All files exported from LaborPower Custom Reports on February 2, 2026. PDF format with tabular data.</w:t>
      </w:r>
    </w:p>
    <w:p>
      <w:pPr>
        <w:spacing w:before="40" w:after="40"/>
      </w:pPr>
    </w:p>
    <w:p>
      <w:pPr>
        <w:pStyle w:val="Heading2"/>
        <w:spacing w:before="200" w:after="100"/>
      </w:pPr>
      <w:r>
        <w:t xml:space="preserve">2.1 Employer Lists (7 files)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160"/>
      </w:tblGrid>
      <w:tr>
        <w:trPr>
          <w:tblHeader/>
        </w:trPr>
        <w:tc>
          <w:tcPr>
            <w:tcW w:type="dxa" w:w="4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Filename</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Code</w:t>
            </w:r>
          </w:p>
        </w:tc>
        <w:tc>
          <w:tcPr>
            <w:tcW w:type="dxa" w:w="3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Records</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Inside_wire_-_Employer_List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752</w:t>
            </w:r>
          </w:p>
        </w:tc>
      </w:tr>
      <w:tr>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S_C_-_Employer_List</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345</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residential_-_Employer_List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RESIDENTIAL</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292</w:t>
            </w:r>
          </w:p>
        </w:tc>
      </w:tr>
      <w:tr>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Stockman_-_Employer_List</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218</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Light_Fixture_Maintenance_-_Employer_List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109</w:t>
            </w:r>
          </w:p>
        </w:tc>
      </w:tr>
      <w:tr>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Marine_and_Various_-_Employer_List</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GROUP MARINE</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market_recovery_-_Employer_List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MARKET RECOVERY</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r>
    </w:tbl>
    <w:p>
      <w:pPr>
        <w:spacing w:before="40" w:after="40"/>
      </w:pPr>
    </w:p>
    <w:p>
      <w:pPr>
        <w:pStyle w:val="Heading2"/>
        <w:spacing w:before="200" w:after="100"/>
      </w:pPr>
      <w:r>
        <w:t xml:space="preserve">2.2 Registration Lists (5 files)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160"/>
      </w:tblGrid>
      <w:tr>
        <w:trPr>
          <w:tblHeader/>
        </w:trPr>
        <w:tc>
          <w:tcPr>
            <w:tcW w:type="dxa" w:w="4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Filename</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Name</w:t>
            </w:r>
          </w:p>
        </w:tc>
        <w:tc>
          <w:tcPr>
            <w:tcW w:type="dxa" w:w="3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Records</w:t>
            </w:r>
          </w:p>
        </w:tc>
      </w:tr>
      <w:tr>
        <w:tc>
          <w:tcPr>
            <w:tcW w:type="dxa" w:w="4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Tradeshow_reg_list</w:t>
            </w:r>
          </w:p>
        </w:tc>
        <w:tc>
          <w:tcPr>
            <w:tcW w:type="dxa" w:w="2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TRADESHOW</w:t>
            </w:r>
          </w:p>
        </w:tc>
        <w:tc>
          <w:tcPr>
            <w:tcW w:type="dxa" w:w="316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315</w:t>
            </w:r>
          </w:p>
        </w:tc>
      </w:tr>
      <w:tr>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technician_reg_list</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260</w:t>
            </w:r>
          </w:p>
        </w:tc>
      </w:tr>
      <w:tr>
        <w:tc>
          <w:tcPr>
            <w:tcW w:type="dxa" w:w="4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stockman_reg_list</w:t>
            </w:r>
          </w:p>
        </w:tc>
        <w:tc>
          <w:tcPr>
            <w:tcW w:type="dxa" w:w="2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STOCKMAN</w:t>
            </w:r>
          </w:p>
        </w:tc>
        <w:tc>
          <w:tcPr>
            <w:tcW w:type="dxa" w:w="316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54</w:t>
            </w:r>
          </w:p>
        </w:tc>
      </w:tr>
      <w:tr>
        <w:tc>
          <w:tcPr>
            <w:tcW w:type="dxa" w:w="4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TERO_Appr_reg_list</w:t>
            </w:r>
          </w:p>
        </w:tc>
        <w:tc>
          <w:tcPr>
            <w:tcW w:type="dxa" w:w="25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TERO APPR WIRE</w:t>
            </w:r>
          </w:p>
        </w:tc>
        <w:tc>
          <w:tcPr>
            <w:tcW w:type="dxa" w:w="316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Utility_worker_reg_list</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r>
    </w:tbl>
    <w:p>
      <w:pPr>
        <w:spacing w:before="80" w:after="80"/>
        <w:jc w:val="left"/>
      </w:pPr>
      <w:r>
        <w:rPr>
          <w:rFonts w:ascii="Arial" w:cs="Arial" w:eastAsia="Arial" w:hAnsi="Arial"/>
          <w:b w:val="false"/>
          <w:bCs w:val="false"/>
          <w:i/>
          <w:iCs/>
          <w:color w:val="6B7280"/>
          <w:sz w:val="22"/>
          <w:szCs w:val="22"/>
        </w:rPr>
        <w:t xml:space="preserve">Green rows = NEW data not in Batch 1. TECHNICIAN and UTILITY WORKER overlap with Batch 1 (identical data confirmed).</w:t>
      </w:r>
    </w:p>
    <w:p>
      <w:pPr>
        <w:spacing w:before="40" w:after="40"/>
      </w:pPr>
    </w:p>
    <w:p>
      <w:pPr>
        <w:pStyle w:val="Heading2"/>
        <w:spacing w:before="200" w:after="100"/>
      </w:pPr>
      <w:r>
        <w:t xml:space="preserve">2.3 Missing from This Batch</w:t>
      </w:r>
    </w:p>
    <w:p>
      <w:pPr>
        <w:pStyle w:val="ListParagraph"/>
        <w:numPr>
          <w:ilvl w:val="0"/>
          <w:numId w:val="3"/>
        </w:numPr>
        <w:spacing w:before="40" w:after="40"/>
      </w:pPr>
      <w:r>
        <w:rPr>
          <w:rFonts w:ascii="Arial" w:cs="Arial" w:eastAsia="Arial" w:hAnsi="Arial"/>
          <w:sz w:val="22"/>
          <w:szCs w:val="22"/>
        </w:rPr>
        <w:t xml:space="preserve">GROUP TV &amp; APPL employer list (2 employers per Continuity Doc — not re-uploaded)</w:t>
      </w:r>
    </w:p>
    <w:p>
      <w:pPr>
        <w:pStyle w:val="ListParagraph"/>
        <w:numPr>
          <w:ilvl w:val="0"/>
          <w:numId w:val="3"/>
        </w:numPr>
        <w:spacing w:before="40" w:after="40"/>
      </w:pPr>
      <w:r>
        <w:rPr>
          <w:rFonts w:ascii="Arial" w:cs="Arial" w:eastAsia="Arial" w:hAnsi="Arial"/>
          <w:sz w:val="22"/>
          <w:szCs w:val="22"/>
        </w:rPr>
        <w:t xml:space="preserve">Wire Seattle / Wire Bremerton / Wire Pt. Angeles registration lists (analyzed in Batch 1)</w:t>
      </w:r>
    </w:p>
    <w:p>
      <w:r>
        <w:br w:type="page"/>
      </w:r>
    </w:p>
    <w:p>
      <w:pPr>
        <w:pStyle w:val="Heading1"/>
        <w:spacing w:before="200" w:after="100"/>
      </w:pPr>
      <w:r>
        <w:t xml:space="preserve">3. Employer List Analysis — 8 Contract Codes</w:t>
      </w:r>
    </w:p>
    <w:p>
      <w:pPr>
        <w:pStyle w:val="Heading2"/>
        <w:spacing w:before="200" w:after="100"/>
      </w:pPr>
      <w:r>
        <w:t xml:space="preserve">3.1 Records Per Contract Code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7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Code</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Raw Records</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Unique</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Duplicates</w:t>
            </w:r>
          </w:p>
        </w:tc>
        <w:tc>
          <w:tcPr>
            <w:tcW w:type="dxa" w:w="17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752</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689</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63</w:t>
            </w:r>
          </w:p>
        </w:tc>
        <w:tc>
          <w:tcPr>
            <w:tcW w:type="dxa" w:w="17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345</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300</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w:t>
            </w:r>
          </w:p>
        </w:tc>
        <w:tc>
          <w:tcPr>
            <w:tcW w:type="dxa" w:w="1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RESIDENTIAL</w:t>
            </w:r>
          </w:p>
        </w:tc>
        <w:tc>
          <w:tcPr>
            <w:tcW w:type="dxa" w:w="18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292</w:t>
            </w:r>
          </w:p>
        </w:tc>
        <w:tc>
          <w:tcPr>
            <w:tcW w:type="dxa" w:w="18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259</w:t>
            </w:r>
          </w:p>
        </w:tc>
        <w:tc>
          <w:tcPr>
            <w:tcW w:type="dxa" w:w="180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33</w:t>
            </w:r>
          </w:p>
        </w:tc>
        <w:tc>
          <w:tcPr>
            <w:tcW w:type="dxa" w:w="1760"/>
            <w:tcBorders>
              <w:top w:val="single" w:color="B0BEC5" w:sz="1"/>
              <w:left w:val="single" w:color="B0BEC5" w:sz="1"/>
              <w:bottom w:val="single" w:color="B0BEC5" w:sz="1"/>
              <w:right w:val="single" w:color="B0BEC5" w:sz="1"/>
            </w:tcBorders>
            <w:shd w:fill="D4EDD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218</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180</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38</w:t>
            </w:r>
          </w:p>
        </w:tc>
        <w:tc>
          <w:tcPr>
            <w:tcW w:type="dxa" w:w="1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109</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92</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w:t>
            </w:r>
          </w:p>
        </w:tc>
        <w:tc>
          <w:tcPr>
            <w:tcW w:type="dxa" w:w="17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GROUP MARINE</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1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MARKET RECOVERY</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17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TOTAL</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1,738</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841</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196</w:t>
            </w:r>
          </w:p>
        </w:tc>
        <w:tc>
          <w:tcPr>
            <w:tcW w:type="dxa" w:w="17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bl>
    <w:p>
      <w:pPr>
        <w:spacing w:before="80" w:after="80"/>
        <w:jc w:val="left"/>
      </w:pPr>
      <w:r>
        <w:rPr>
          <w:rFonts w:ascii="Arial" w:cs="Arial" w:eastAsia="Arial" w:hAnsi="Arial"/>
          <w:b/>
          <w:bCs/>
          <w:sz w:val="22"/>
          <w:szCs w:val="22"/>
        </w:rPr>
        <w:t xml:space="preserve">Unique (employer, contract) relationships: </w:t>
      </w:r>
      <w:r>
        <w:rPr>
          <w:rFonts w:ascii="Arial" w:cs="Arial" w:eastAsia="Arial" w:hAnsi="Arial"/>
          <w:sz w:val="22"/>
          <w:szCs w:val="22"/>
        </w:rPr>
        <w:t xml:space="preserve">1,542</w:t>
      </w:r>
    </w:p>
    <w:p>
      <w:pPr>
        <w:spacing w:before="40" w:after="40"/>
      </w:pPr>
    </w:p>
    <w:p>
      <w:pPr>
        <w:pStyle w:val="Heading2"/>
        <w:spacing w:before="200" w:after="100"/>
      </w:pPr>
      <w:r>
        <w:t xml:space="preserve">3.2 Multi-Contract Employer Distribution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160"/>
      </w:tblGrid>
      <w:tr>
        <w:trPr>
          <w:tblHeader/>
        </w:trPr>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Contracts Signed</w:t>
            </w:r>
          </w:p>
        </w:tc>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 Count</w:t>
            </w:r>
          </w:p>
        </w:tc>
        <w:tc>
          <w:tcPr>
            <w:tcW w:type="dxa" w:w="3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 from Vol. 1</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 contract</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449</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 504</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 contracts</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201</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 155</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 contracts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109</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 98</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 contracts</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47</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 43</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 contracts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Was 1</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 contracts</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bl>
    <w:p>
      <w:pPr>
        <w:spacing w:before="80" w:after="80"/>
        <w:jc w:val="left"/>
      </w:pPr>
      <w:r>
        <w:rPr>
          <w:rFonts w:ascii="Arial" w:cs="Arial" w:eastAsia="Arial" w:hAnsi="Arial"/>
          <w:b w:val="false"/>
          <w:bCs w:val="false"/>
          <w:i/>
          <w:iCs/>
          <w:color w:val="000000"/>
          <w:sz w:val="22"/>
          <w:szCs w:val="22"/>
        </w:rPr>
        <w:t xml:space="preserve">The shift is entirely due to RESIDENTIAL being added. Employers previously at 4 contracts now have 5; the one at 5 now has 6.</w:t>
      </w:r>
    </w:p>
    <w:p>
      <w:pPr>
        <w:spacing w:before="40" w:after="40"/>
      </w:pPr>
    </w:p>
    <w:p>
      <w:pPr>
        <w:pStyle w:val="Heading2"/>
        <w:spacing w:before="200" w:after="100"/>
      </w:pPr>
      <w:r>
        <w:t xml:space="preserve">3.3 Maximum-Contract Employer</w:t>
      </w:r>
    </w:p>
    <w:p>
      <w:pPr>
        <w:spacing w:before="80" w:after="80"/>
        <w:jc w:val="left"/>
      </w:pPr>
      <w:r>
        <w:rPr>
          <w:rFonts w:ascii="Arial" w:cs="Arial" w:eastAsia="Arial" w:hAnsi="Arial"/>
          <w:b/>
          <w:bCs/>
          <w:sz w:val="22"/>
          <w:szCs w:val="22"/>
        </w:rPr>
        <w:t xml:space="preserve">ELECTRIC HOME SERVICE </w:t>
      </w:r>
      <w:r>
        <w:rPr>
          <w:rFonts w:ascii="Arial" w:cs="Arial" w:eastAsia="Arial" w:hAnsi="Arial"/>
          <w:sz w:val="22"/>
          <w:szCs w:val="22"/>
        </w:rPr>
        <w:t xml:space="preserve">now confirmed on 6 of 8 known contracts:</w:t>
      </w:r>
    </w:p>
    <w:p>
      <w:pPr>
        <w:spacing w:before="80" w:after="80"/>
        <w:jc w:val="left"/>
      </w:pPr>
      <w:r>
        <w:rPr>
          <w:rFonts w:ascii="Arial" w:cs="Arial" w:eastAsia="Arial" w:hAnsi="Arial"/>
          <w:b w:val="false"/>
          <w:bCs w:val="false"/>
          <w:i w:val="false"/>
          <w:iCs w:val="false"/>
          <w:color w:val="000000"/>
          <w:sz w:val="22"/>
          <w:szCs w:val="22"/>
        </w:rPr>
        <w:t xml:space="preserve">WIREPERSON, SOUND &amp; COMM, STOCKPERSON, LT FXT MAINT, MARKET RECOVERY, RESIDENTIAL</w:t>
      </w:r>
    </w:p>
    <w:p>
      <w:pPr>
        <w:spacing w:before="80" w:after="80"/>
        <w:jc w:val="left"/>
      </w:pPr>
      <w:r>
        <w:rPr>
          <w:rFonts w:ascii="Arial" w:cs="Arial" w:eastAsia="Arial" w:hAnsi="Arial"/>
          <w:b w:val="false"/>
          <w:bCs w:val="false"/>
          <w:i w:val="false"/>
          <w:iCs w:val="false"/>
          <w:color w:val="000000"/>
          <w:sz w:val="22"/>
          <w:szCs w:val="22"/>
        </w:rPr>
        <w:t xml:space="preserve">Only missing GROUP MARINE (not an electrical contractor type). Previously documented as signing 5 contracts.</w:t>
      </w:r>
    </w:p>
    <w:p>
      <w:pPr>
        <w:spacing w:before="40" w:after="40"/>
      </w:pPr>
    </w:p>
    <w:p>
      <w:pPr>
        <w:pStyle w:val="Heading2"/>
        <w:spacing w:before="200" w:after="100"/>
      </w:pPr>
      <w:r>
        <w:t xml:space="preserve">3.4 Five-Contract Employers (34 total)</w:t>
      </w:r>
    </w:p>
    <w:p>
      <w:pPr>
        <w:spacing w:before="80" w:after="80"/>
        <w:jc w:val="left"/>
      </w:pPr>
      <w:r>
        <w:rPr>
          <w:rFonts w:ascii="Arial" w:cs="Arial" w:eastAsia="Arial" w:hAnsi="Arial"/>
          <w:b w:val="false"/>
          <w:bCs w:val="false"/>
          <w:i w:val="false"/>
          <w:iCs w:val="false"/>
          <w:color w:val="000000"/>
          <w:sz w:val="22"/>
          <w:szCs w:val="22"/>
        </w:rPr>
        <w:t xml:space="preserve">The common 5-contract pattern is: WIREPERSON + SOUND &amp; COMM + STOCKPERSON + LT FXT MAINT + RESIDENTIAL. Notable employers at this level include:</w:t>
      </w:r>
    </w:p>
    <w:p>
      <w:pPr>
        <w:pStyle w:val="ListParagraph"/>
        <w:numPr>
          <w:ilvl w:val="0"/>
          <w:numId w:val="3"/>
        </w:numPr>
        <w:spacing w:before="40" w:after="40"/>
      </w:pPr>
      <w:r>
        <w:rPr>
          <w:rFonts w:ascii="Arial" w:cs="Arial" w:eastAsia="Arial" w:hAnsi="Arial"/>
          <w:sz w:val="22"/>
          <w:szCs w:val="22"/>
        </w:rPr>
        <w:t xml:space="preserve">MCKINSTRY CO., LLC</w:t>
      </w:r>
    </w:p>
    <w:p>
      <w:pPr>
        <w:pStyle w:val="ListParagraph"/>
        <w:numPr>
          <w:ilvl w:val="0"/>
          <w:numId w:val="3"/>
        </w:numPr>
        <w:spacing w:before="40" w:after="40"/>
      </w:pPr>
      <w:r>
        <w:rPr>
          <w:rFonts w:ascii="Arial" w:cs="Arial" w:eastAsia="Arial" w:hAnsi="Arial"/>
          <w:sz w:val="22"/>
          <w:szCs w:val="22"/>
        </w:rPr>
        <w:t xml:space="preserve">PRIME ELECTRIC INC</w:t>
      </w:r>
    </w:p>
    <w:p>
      <w:pPr>
        <w:pStyle w:val="ListParagraph"/>
        <w:numPr>
          <w:ilvl w:val="0"/>
          <w:numId w:val="3"/>
        </w:numPr>
        <w:spacing w:before="40" w:after="40"/>
      </w:pPr>
      <w:r>
        <w:rPr>
          <w:rFonts w:ascii="Arial" w:cs="Arial" w:eastAsia="Arial" w:hAnsi="Arial"/>
          <w:sz w:val="22"/>
          <w:szCs w:val="22"/>
        </w:rPr>
        <w:t xml:space="preserve">PRECISION ELECTRIC GROUP, INC.</w:t>
      </w:r>
    </w:p>
    <w:p>
      <w:pPr>
        <w:pStyle w:val="ListParagraph"/>
        <w:numPr>
          <w:ilvl w:val="0"/>
          <w:numId w:val="3"/>
        </w:numPr>
        <w:spacing w:before="40" w:after="40"/>
      </w:pPr>
      <w:r>
        <w:rPr>
          <w:rFonts w:ascii="Arial" w:cs="Arial" w:eastAsia="Arial" w:hAnsi="Arial"/>
          <w:sz w:val="22"/>
          <w:szCs w:val="22"/>
        </w:rPr>
        <w:t xml:space="preserve">VECA ELECTRIC &amp; TECHNOLOGIES, LLC.</w:t>
      </w:r>
    </w:p>
    <w:p>
      <w:pPr>
        <w:pStyle w:val="ListParagraph"/>
        <w:numPr>
          <w:ilvl w:val="0"/>
          <w:numId w:val="3"/>
        </w:numPr>
        <w:spacing w:before="40" w:after="40"/>
      </w:pPr>
      <w:r>
        <w:rPr>
          <w:rFonts w:ascii="Arial" w:cs="Arial" w:eastAsia="Arial" w:hAnsi="Arial"/>
          <w:sz w:val="22"/>
          <w:szCs w:val="22"/>
        </w:rPr>
        <w:t xml:space="preserve">J H KELLY LLC</w:t>
      </w:r>
    </w:p>
    <w:p>
      <w:pPr>
        <w:pStyle w:val="ListParagraph"/>
        <w:numPr>
          <w:ilvl w:val="0"/>
          <w:numId w:val="3"/>
        </w:numPr>
        <w:spacing w:before="40" w:after="40"/>
      </w:pPr>
      <w:r>
        <w:rPr>
          <w:rFonts w:ascii="Arial" w:cs="Arial" w:eastAsia="Arial" w:hAnsi="Arial"/>
          <w:sz w:val="22"/>
          <w:szCs w:val="22"/>
        </w:rPr>
        <w:t xml:space="preserve">SEAHURST ELECTRIC</w:t>
      </w:r>
    </w:p>
    <w:p>
      <w:pPr>
        <w:pStyle w:val="ListParagraph"/>
        <w:numPr>
          <w:ilvl w:val="0"/>
          <w:numId w:val="3"/>
        </w:numPr>
        <w:spacing w:before="40" w:after="40"/>
      </w:pPr>
      <w:r>
        <w:rPr>
          <w:rFonts w:ascii="Arial" w:cs="Arial" w:eastAsia="Arial" w:hAnsi="Arial"/>
          <w:sz w:val="22"/>
          <w:szCs w:val="22"/>
        </w:rPr>
        <w:t xml:space="preserve">SUNDANCER ELECTRIC, INC.</w:t>
      </w:r>
    </w:p>
    <w:p>
      <w:pPr>
        <w:pStyle w:val="ListParagraph"/>
        <w:numPr>
          <w:ilvl w:val="0"/>
          <w:numId w:val="3"/>
        </w:numPr>
        <w:spacing w:before="40" w:after="40"/>
      </w:pPr>
      <w:r>
        <w:rPr>
          <w:rFonts w:ascii="Arial" w:cs="Arial" w:eastAsia="Arial" w:hAnsi="Arial"/>
          <w:sz w:val="22"/>
          <w:szCs w:val="22"/>
        </w:rPr>
        <w:t xml:space="preserve">ZION ELECTRIC, LLC</w:t>
      </w:r>
    </w:p>
    <w:p>
      <w:pPr>
        <w:spacing w:before="80" w:after="80"/>
        <w:jc w:val="left"/>
      </w:pPr>
      <w:r>
        <w:rPr>
          <w:rFonts w:ascii="Arial" w:cs="Arial" w:eastAsia="Arial" w:hAnsi="Arial"/>
          <w:b w:val="false"/>
          <w:bCs w:val="false"/>
          <w:i w:val="false"/>
          <w:iCs w:val="false"/>
          <w:color w:val="000000"/>
          <w:sz w:val="22"/>
          <w:szCs w:val="22"/>
        </w:rPr>
        <w:t xml:space="preserve">Plus 26 others. One exception: PACIFIC ELECTRIC COMPANY signs GROUP MARINE instead of STOCKPERSON (marine-capable contractor).</w:t>
      </w:r>
    </w:p>
    <w:p>
      <w:r>
        <w:br w:type="page"/>
      </w:r>
    </w:p>
    <w:p>
      <w:pPr>
        <w:pStyle w:val="Heading1"/>
        <w:spacing w:before="200" w:after="100"/>
      </w:pPr>
      <w:r>
        <w:t xml:space="preserve">4. Registration List Analysis — 5 Books (3 New)</w:t>
      </w:r>
    </w:p>
    <w:p>
      <w:pPr>
        <w:pStyle w:val="Heading2"/>
        <w:spacing w:before="200" w:after="100"/>
      </w:pPr>
      <w:r>
        <w:t xml:space="preserve">4.1 Registration Counts by Book and Tier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400"/>
        <w:gridCol w:w="10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1</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2</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3</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w:t>
            </w:r>
          </w:p>
        </w:tc>
        <w:tc>
          <w:tcPr>
            <w:tcW w:type="dxa" w:w="1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298</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315</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112</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131</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260</w:t>
            </w:r>
          </w:p>
        </w:tc>
        <w:tc>
          <w:tcPr>
            <w:tcW w:type="dxa" w:w="1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STOCKMAN</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43</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54</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TERO APPR WIRE</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w:t>
            </w:r>
          </w:p>
        </w:tc>
        <w:tc>
          <w:tcPr>
            <w:tcW w:type="dxa" w:w="1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TOTAL</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418</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39</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175</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632</w:t>
            </w:r>
          </w:p>
        </w:tc>
        <w:tc>
          <w:tcPr>
            <w:tcW w:type="dxa" w:w="10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bl>
    <w:p>
      <w:pPr>
        <w:spacing w:before="40" w:after="40"/>
      </w:pPr>
    </w:p>
    <w:p>
      <w:pPr>
        <w:pStyle w:val="Heading2"/>
        <w:spacing w:before="200" w:after="100"/>
      </w:pPr>
      <w:r>
        <w:t xml:space="preserve">4.2 APN Date Ranges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700"/>
        <w:gridCol w:w="2600"/>
        <w:gridCol w:w="1200"/>
        <w:gridCol w:w="13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1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APN Range</w:t>
            </w:r>
          </w:p>
        </w:tc>
        <w:tc>
          <w:tcPr>
            <w:tcW w:type="dxa" w:w="2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Range</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1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39841–46052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 28, 2009 – Jan 30, 2026</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298</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Oldest APN!</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2</w:t>
            </w:r>
          </w:p>
        </w:tc>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44516–46042</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Nov 16, 2021 – Jan 20, 2026</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3</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45875</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Aug 06, 2025</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Single entry</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44426–46055</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Aug 18, 2021 – Feb 02, 2026</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112</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2</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44587–46052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 26, 2022 – Jan 30, 2026</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3</w:t>
            </w:r>
          </w:p>
        </w:tc>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43658–46052</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Jul 12, 2019 – Jan 30, 2026</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131</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Inverted</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42199–45992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Jul 14, 2015 – Dec 01, 2025</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Very sparse</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2</w:t>
            </w:r>
          </w:p>
        </w:tc>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45856–46051</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Jul 18, 2025 – Jan 29, 2026</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3</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44700–46052</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May 19, 2022 – Jan 30, 2026</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43</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Inverted 8.6×</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WIRE</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17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45840–45880</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Jul 02, 2025 – Aug 11, 2025</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only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17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45880</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Aug 11, 2025</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Single entry</w:t>
            </w:r>
          </w:p>
        </w:tc>
      </w:tr>
    </w:tbl>
    <w:p>
      <w:pPr>
        <w:spacing w:before="120" w:after="80"/>
        <w:jc w:val="left"/>
      </w:pPr>
      <w:r>
        <w:rPr>
          <w:rFonts w:ascii="Arial" w:cs="Arial" w:eastAsia="Arial" w:hAnsi="Arial"/>
          <w:b w:val="false"/>
          <w:bCs w:val="false"/>
          <w:i w:val="false"/>
          <w:iCs w:val="false"/>
          <w:color w:val="000000"/>
          <w:sz w:val="22"/>
          <w:szCs w:val="22"/>
        </w:rPr>
        <w:t xml:space="preserve">Key Observation: TRADESHOW Book 1 has the oldest registration in the entire dataset — APN 39841.64, dating to January 28, 2009 (nearly 17 years). Members can remain on this book indefinitely through 30-day re-signing cycles.</w:t>
      </w:r>
    </w:p>
    <w:p>
      <w:pPr>
        <w:spacing w:before="40" w:after="40"/>
      </w:pPr>
    </w:p>
    <w:p>
      <w:pPr>
        <w:pStyle w:val="Heading2"/>
        <w:spacing w:before="200" w:after="100"/>
      </w:pPr>
      <w:r>
        <w:t xml:space="preserve">4.3 Duplicate APNs Within Same Book + Tier</w:t>
      </w:r>
    </w:p>
    <w:p>
      <w:pPr>
        <w:spacing w:before="80" w:after="80"/>
        <w:jc w:val="left"/>
      </w:pPr>
      <w:r>
        <w:rPr>
          <w:rFonts w:ascii="Arial" w:cs="Arial" w:eastAsia="Arial" w:hAnsi="Arial"/>
          <w:b w:val="false"/>
          <w:bCs w:val="false"/>
          <w:i w:val="false"/>
          <w:iCs w:val="false"/>
          <w:color w:val="000000"/>
          <w:sz w:val="22"/>
          <w:szCs w:val="22"/>
        </w:rPr>
        <w:t xml:space="preserve">Confirms Continuity Document §5.4: APNs are NOT unique identifiers. UNIQUE(member_id, book_id, book_priority_number) remains the correct constraint.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600"/>
        <w:gridCol w:w="1800"/>
        <w:gridCol w:w="18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APN</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Occurrences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45882.55</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Aug 13, 2025</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44936.49</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 10, 2023</w:t>
            </w:r>
          </w:p>
        </w:tc>
        <w:tc>
          <w:tcPr>
            <w:tcW w:type="dxa" w:w="1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45947.52</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Oct 17, 2025</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2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45954.63</w:t>
            </w:r>
          </w:p>
        </w:tc>
        <w:tc>
          <w:tcPr>
            <w:tcW w:type="dxa" w:w="1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Oct 24, 2025</w:t>
            </w:r>
          </w:p>
        </w:tc>
        <w:tc>
          <w:tcPr>
            <w:tcW w:type="dxa" w:w="1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2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46038.70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Jan 16, 2026</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bl>
    <w:p>
      <w:r>
        <w:br w:type="page"/>
      </w:r>
    </w:p>
    <w:p>
      <w:pPr>
        <w:pStyle w:val="Heading1"/>
        <w:spacing w:before="200" w:after="100"/>
      </w:pPr>
      <w:r>
        <w:t xml:space="preserve">5. Critical Finding: APN 45880.41 — The Super-Registrant</w:t>
      </w:r>
    </w:p>
    <w:p>
      <w:pPr>
        <w:shd w:fill="FFF3CD" w:val="clear"/>
        <w:spacing w:before="120" w:after="120"/>
        <w:ind w:left="200" w:right="200"/>
      </w:pPr>
      <w:r>
        <w:rPr>
          <w:rFonts w:ascii="Arial" w:cs="Arial" w:eastAsia="Arial" w:hAnsi="Arial"/>
          <w:b/>
          <w:bCs/>
          <w:sz w:val="22"/>
          <w:szCs w:val="22"/>
        </w:rPr>
        <w:t xml:space="preserve">⚠️  CRITICAL: One APN appears on FOUR different books simultaneously</w:t>
      </w:r>
    </w:p>
    <w:p>
      <w:pPr>
        <w:spacing w:before="80" w:after="80"/>
        <w:jc w:val="left"/>
      </w:pPr>
      <w:r>
        <w:rPr>
          <w:rFonts w:ascii="Arial" w:cs="Arial" w:eastAsia="Arial" w:hAnsi="Arial"/>
          <w:b w:val="false"/>
          <w:bCs w:val="false"/>
          <w:i w:val="false"/>
          <w:iCs w:val="false"/>
          <w:color w:val="000000"/>
          <w:sz w:val="22"/>
          <w:szCs w:val="22"/>
        </w:rPr>
        <w:t xml:space="preserve">APN 45880.41 (August 11, 2025) appears across four separate registration books: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000"/>
        <w:gridCol w:w="5160"/>
      </w:tblGrid>
      <w:tr>
        <w:trPr>
          <w:tblHeader/>
        </w:trPr>
        <w:tc>
          <w:tcPr>
            <w:tcW w:type="dxa" w:w="5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w:t>
            </w:r>
          </w:p>
        </w:tc>
        <w:tc>
          <w:tcPr>
            <w:tcW w:type="dxa" w:w="5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r>
      <w:tr>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5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r>
      <w:tr>
        <w:tc>
          <w:tcPr>
            <w:tcW w:type="dxa" w:w="5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WIRE</w:t>
            </w:r>
          </w:p>
        </w:tc>
        <w:tc>
          <w:tcPr>
            <w:tcW w:type="dxa" w:w="5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r>
      <w:tr>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5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2</w:t>
            </w:r>
          </w:p>
        </w:tc>
      </w:tr>
      <w:tr>
        <w:tc>
          <w:tcPr>
            <w:tcW w:type="dxa" w:w="5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5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r>
    </w:tbl>
    <w:p>
      <w:pPr>
        <w:pStyle w:val="Heading3"/>
        <w:spacing w:before="200" w:after="100"/>
      </w:pPr>
      <w:r>
        <w:t xml:space="preserve">Implications</w:t>
      </w:r>
    </w:p>
    <w:p>
      <w:pPr>
        <w:pStyle w:val="ListParagraph"/>
        <w:numPr>
          <w:ilvl w:val="0"/>
          <w:numId w:val="3"/>
        </w:numPr>
        <w:spacing w:before="40" w:after="40"/>
      </w:pPr>
      <w:r>
        <w:rPr>
          <w:rFonts w:ascii="Arial" w:cs="Arial" w:eastAsia="Arial" w:hAnsi="Arial"/>
          <w:sz w:val="22"/>
          <w:szCs w:val="22"/>
        </w:rPr>
        <w:t xml:space="preserve">This is very likely the same member registered across 4 classifications on the same day</w:t>
      </w:r>
    </w:p>
    <w:p>
      <w:pPr>
        <w:pStyle w:val="ListParagraph"/>
        <w:numPr>
          <w:ilvl w:val="0"/>
          <w:numId w:val="3"/>
        </w:numPr>
        <w:spacing w:before="40" w:after="40"/>
      </w:pPr>
      <w:r>
        <w:rPr>
          <w:rFonts w:ascii="Arial" w:cs="Arial" w:eastAsia="Arial" w:hAnsi="Arial"/>
          <w:sz w:val="22"/>
          <w:szCs w:val="22"/>
        </w:rPr>
        <w:t xml:space="preserve">Validates Rule 5: one registration per classification — a member CAN hold registrations on multiple classification books simultaneously</w:t>
      </w:r>
    </w:p>
    <w:p>
      <w:pPr>
        <w:pStyle w:val="ListParagraph"/>
        <w:numPr>
          <w:ilvl w:val="0"/>
          <w:numId w:val="3"/>
        </w:numPr>
        <w:spacing w:before="40" w:after="40"/>
      </w:pPr>
      <w:r>
        <w:rPr>
          <w:rFonts w:ascii="Arial" w:cs="Arial" w:eastAsia="Arial" w:hAnsi="Arial"/>
          <w:sz w:val="22"/>
          <w:szCs w:val="22"/>
        </w:rPr>
        <w:t xml:space="preserve">The TERO APPR WIRE registration alongside TECHNICIAN suggests this member may be a TERO apprentice who also holds journeyman Technician and Utility Worker status, plus Tradeshow eligibility</w:t>
      </w:r>
    </w:p>
    <w:p>
      <w:pPr>
        <w:pStyle w:val="ListParagraph"/>
        <w:numPr>
          <w:ilvl w:val="0"/>
          <w:numId w:val="3"/>
        </w:numPr>
        <w:spacing w:before="40" w:after="40"/>
      </w:pPr>
      <w:r>
        <w:rPr>
          <w:rFonts w:ascii="Arial" w:cs="Arial" w:eastAsia="Arial" w:hAnsi="Arial"/>
          <w:b/>
          <w:bCs/>
          <w:sz w:val="22"/>
          <w:szCs w:val="22"/>
        </w:rPr>
        <w:t xml:space="preserve">Without member identifiers, we cannot confirm this is one person </w:t>
      </w:r>
      <w:r>
        <w:rPr>
          <w:rFonts w:ascii="Arial" w:cs="Arial" w:eastAsia="Arial" w:hAnsi="Arial"/>
          <w:sz w:val="22"/>
          <w:szCs w:val="22"/>
        </w:rPr>
        <w:t xml:space="preserve">vs. four people who happened to register at the same moment — reinforces Priority 1 Gap #1 (REGLIST with member IDs)</w:t>
      </w:r>
    </w:p>
    <w:p>
      <w:pPr>
        <w:pStyle w:val="Heading3"/>
        <w:spacing w:before="200" w:after="100"/>
      </w:pPr>
      <w:r>
        <w:t xml:space="preserve">Schema Validation</w:t>
      </w:r>
    </w:p>
    <w:p>
      <w:pPr>
        <w:spacing w:before="80" w:after="80"/>
        <w:jc w:val="left"/>
      </w:pPr>
      <w:r>
        <w:rPr>
          <w:rFonts w:ascii="Arial" w:cs="Arial" w:eastAsia="Arial" w:hAnsi="Arial"/>
          <w:b w:val="false"/>
          <w:bCs w:val="false"/>
          <w:i w:val="false"/>
          <w:iCs w:val="false"/>
          <w:color w:val="000000"/>
          <w:sz w:val="22"/>
          <w:szCs w:val="22"/>
        </w:rPr>
        <w:t xml:space="preserve">The many-to-many model via registrations table is correct. No additional constraints needed — a member can have unlimited active registrations across different books.</w:t>
      </w:r>
    </w:p>
    <w:p>
      <w:r>
        <w:br w:type="page"/>
      </w:r>
    </w:p>
    <w:p>
      <w:pPr>
        <w:pStyle w:val="Heading1"/>
        <w:spacing w:before="200" w:after="100"/>
      </w:pPr>
      <w:r>
        <w:t xml:space="preserve">6. Critical Finding: TECHNICIAN ↔ TRADESHOW Cross-Registration</w:t>
      </w:r>
    </w:p>
    <w:p>
      <w:pPr>
        <w:spacing w:before="80" w:after="80"/>
        <w:jc w:val="left"/>
      </w:pPr>
      <w:r>
        <w:rPr>
          <w:rFonts w:ascii="Arial" w:cs="Arial" w:eastAsia="Arial" w:hAnsi="Arial"/>
          <w:b w:val="false"/>
          <w:bCs w:val="false"/>
          <w:i w:val="false"/>
          <w:iCs w:val="false"/>
          <w:color w:val="000000"/>
          <w:sz w:val="22"/>
          <w:szCs w:val="22"/>
        </w:rPr>
        <w:t xml:space="preserve">95 shared APNs between the TECHNICIAN and TRADESHOW books. This represents 36.5% of Technician registrants.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gridCol w:w="2160"/>
      </w:tblGrid>
      <w:tr>
        <w:trPr>
          <w:tblHeader/>
        </w:trPr>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Overlap</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Shared APNs</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of Smaller Book</w:t>
            </w:r>
          </w:p>
        </w:tc>
        <w:tc>
          <w:tcPr>
            <w:tcW w:type="dxa" w:w="2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Comparison</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TECHNICIAN ∩ TRADESHOW</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95</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36.5%</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This batch</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 ∩ Wire Seattle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88</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33.8%</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 ∩ TECHNICIAN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1.9%</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This batch</w:t>
            </w:r>
          </w:p>
        </w:tc>
      </w:tr>
    </w:tbl>
    <w:p>
      <w:pPr>
        <w:pStyle w:val="Heading3"/>
        <w:spacing w:before="200" w:after="100"/>
      </w:pPr>
      <w:r>
        <w:t xml:space="preserve">Interpretation</w:t>
      </w:r>
    </w:p>
    <w:p>
      <w:pPr>
        <w:spacing w:before="80" w:after="80"/>
        <w:jc w:val="left"/>
      </w:pPr>
      <w:r>
        <w:rPr>
          <w:rFonts w:ascii="Arial" w:cs="Arial" w:eastAsia="Arial" w:hAnsi="Arial"/>
          <w:b w:val="false"/>
          <w:bCs w:val="false"/>
          <w:i w:val="false"/>
          <w:iCs w:val="false"/>
          <w:color w:val="000000"/>
          <w:sz w:val="22"/>
          <w:szCs w:val="22"/>
        </w:rPr>
        <w:t xml:space="preserve">Tradeshow functions as a supplemental registration that many members add alongside their primary classification book. Members on the Technician book frequently also register for Tradeshow work. This is consistent with Rule 2, which dispatches Tradeshow at 9:30 AM (after all primary classifications).</w:t>
      </w:r>
    </w:p>
    <w:p>
      <w:pPr>
        <w:pStyle w:val="Heading3"/>
        <w:spacing w:before="200" w:after="100"/>
      </w:pPr>
      <w:r>
        <w:t xml:space="preserve">Schema Implication</w:t>
      </w:r>
    </w:p>
    <w:p>
      <w:pPr>
        <w:spacing w:before="80" w:after="80"/>
        <w:jc w:val="left"/>
      </w:pPr>
      <w:r>
        <w:rPr>
          <w:rFonts w:ascii="Arial" w:cs="Arial" w:eastAsia="Arial" w:hAnsi="Arial"/>
          <w:b w:val="false"/>
          <w:bCs w:val="false"/>
          <w:i w:val="false"/>
          <w:iCs w:val="false"/>
          <w:color w:val="000000"/>
          <w:sz w:val="22"/>
          <w:szCs w:val="22"/>
        </w:rPr>
        <w:t xml:space="preserve">No structural changes needed — the registrations table already supports this pattern. However, the referral_books table should include a book_type field:</w:t>
      </w:r>
    </w:p>
    <w:p>
      <w:pPr>
        <w:pStyle w:val="ListParagraph"/>
        <w:numPr>
          <w:ilvl w:val="0"/>
          <w:numId w:val="3"/>
        </w:numPr>
        <w:spacing w:before="40" w:after="40"/>
      </w:pPr>
      <w:r>
        <w:rPr>
          <w:rFonts w:ascii="Arial" w:cs="Arial" w:eastAsia="Arial" w:hAnsi="Arial"/>
          <w:b/>
          <w:bCs/>
          <w:sz w:val="22"/>
          <w:szCs w:val="22"/>
        </w:rPr>
        <w:t xml:space="preserve">PRIMARY: </w:t>
      </w:r>
      <w:r>
        <w:rPr>
          <w:rFonts w:ascii="Arial" w:cs="Arial" w:eastAsia="Arial" w:hAnsi="Arial"/>
          <w:sz w:val="22"/>
          <w:szCs w:val="22"/>
        </w:rPr>
        <w:t xml:space="preserve">Wire, Technician, Stockman, Sound &amp; Comm, Marine, LFM, Utility Worker</w:t>
      </w:r>
    </w:p>
    <w:p>
      <w:pPr>
        <w:pStyle w:val="ListParagraph"/>
        <w:numPr>
          <w:ilvl w:val="0"/>
          <w:numId w:val="3"/>
        </w:numPr>
        <w:spacing w:before="40" w:after="40"/>
      </w:pPr>
      <w:r>
        <w:rPr>
          <w:rFonts w:ascii="Arial" w:cs="Arial" w:eastAsia="Arial" w:hAnsi="Arial"/>
          <w:b/>
          <w:bCs/>
          <w:sz w:val="22"/>
          <w:szCs w:val="22"/>
        </w:rPr>
        <w:t xml:space="preserve">SUPPLEMENTAL: </w:t>
      </w:r>
      <w:r>
        <w:rPr>
          <w:rFonts w:ascii="Arial" w:cs="Arial" w:eastAsia="Arial" w:hAnsi="Arial"/>
          <w:sz w:val="22"/>
          <w:szCs w:val="22"/>
        </w:rPr>
        <w:t xml:space="preserve">Tradeshow (and potentially others like Seattle School District)</w:t>
      </w:r>
    </w:p>
    <w:p>
      <w:r>
        <w:br w:type="page"/>
      </w:r>
    </w:p>
    <w:p>
      <w:pPr>
        <w:pStyle w:val="Heading1"/>
        <w:spacing w:before="200" w:after="100"/>
      </w:pPr>
      <w:r>
        <w:t xml:space="preserve">7. Critical Finding: RESIDENTIAL — 8th Contract Code</w:t>
      </w:r>
    </w:p>
    <w:p>
      <w:pPr>
        <w:shd w:fill="FFF3CD" w:val="clear"/>
        <w:spacing w:before="120" w:after="120"/>
        <w:ind w:left="200" w:right="200"/>
      </w:pPr>
      <w:r>
        <w:rPr>
          <w:rFonts w:ascii="Arial" w:cs="Arial" w:eastAsia="Arial" w:hAnsi="Arial"/>
          <w:b/>
          <w:bCs/>
          <w:sz w:val="22"/>
          <w:szCs w:val="22"/>
        </w:rPr>
        <w:t xml:space="preserve">⚠️  RESIDENTIAL was not documented in the Continuity Document. It is a distinct contract code with 259 unique employers.</w:t>
      </w:r>
    </w:p>
    <w:p>
      <w:pPr>
        <w:pStyle w:val="Heading2"/>
        <w:spacing w:before="200" w:after="100"/>
      </w:pPr>
      <w:r>
        <w:t xml:space="preserve">7.1 Overlap with WIREPERSON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3160"/>
      </w:tblGrid>
      <w:tr>
        <w:trPr>
          <w:tblHeader/>
        </w:trPr>
        <w:tc>
          <w:tcPr>
            <w:tcW w:type="dxa" w:w="5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3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Percentage</w:t>
            </w:r>
          </w:p>
        </w:tc>
      </w:tr>
      <w:tr>
        <w:tc>
          <w:tcPr>
            <w:tcW w:type="dxa" w:w="5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RESIDENTIAL employers also signed WIREPERSON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207</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w:t>
            </w:r>
          </w:p>
        </w:tc>
      </w:tr>
      <w:tr>
        <w:tc>
          <w:tcPr>
            <w:tcW w:type="dxa" w:w="5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RESIDENTIAL-only (no WIREPERSON)</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52</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20%</w:t>
            </w:r>
          </w:p>
        </w:tc>
      </w:tr>
    </w:tbl>
    <w:p>
      <w:pPr>
        <w:pStyle w:val="Heading2"/>
        <w:spacing w:before="200" w:after="100"/>
      </w:pPr>
      <w:r>
        <w:t xml:space="preserve">7.2 RESIDENTIAL-Only Employers (52)</w:t>
      </w:r>
    </w:p>
    <w:p>
      <w:pPr>
        <w:spacing w:before="80" w:after="80"/>
        <w:jc w:val="left"/>
      </w:pPr>
      <w:r>
        <w:rPr>
          <w:rFonts w:ascii="Arial" w:cs="Arial" w:eastAsia="Arial" w:hAnsi="Arial"/>
          <w:b w:val="false"/>
          <w:bCs w:val="false"/>
          <w:i w:val="false"/>
          <w:iCs w:val="false"/>
          <w:color w:val="000000"/>
          <w:sz w:val="22"/>
          <w:szCs w:val="22"/>
        </w:rPr>
        <w:t xml:space="preserve">These are likely residential-specialty contractors. Notable examples:</w:t>
      </w:r>
    </w:p>
    <w:p>
      <w:pPr>
        <w:pStyle w:val="ListParagraph"/>
        <w:numPr>
          <w:ilvl w:val="0"/>
          <w:numId w:val="3"/>
        </w:numPr>
        <w:spacing w:before="40" w:after="40"/>
      </w:pPr>
      <w:r>
        <w:rPr>
          <w:rFonts w:ascii="Arial" w:cs="Arial" w:eastAsia="Arial" w:hAnsi="Arial"/>
          <w:sz w:val="22"/>
          <w:szCs w:val="22"/>
        </w:rPr>
        <w:t xml:space="preserve">1 WAY ELECTRICAL SERVICE LLC</w:t>
      </w:r>
    </w:p>
    <w:p>
      <w:pPr>
        <w:pStyle w:val="ListParagraph"/>
        <w:numPr>
          <w:ilvl w:val="0"/>
          <w:numId w:val="3"/>
        </w:numPr>
        <w:spacing w:before="40" w:after="40"/>
      </w:pPr>
      <w:r>
        <w:rPr>
          <w:rFonts w:ascii="Arial" w:cs="Arial" w:eastAsia="Arial" w:hAnsi="Arial"/>
          <w:sz w:val="22"/>
          <w:szCs w:val="22"/>
        </w:rPr>
        <w:t xml:space="preserve">24/7 ELECTRICAL COMPANY</w:t>
      </w:r>
    </w:p>
    <w:p>
      <w:pPr>
        <w:pStyle w:val="ListParagraph"/>
        <w:numPr>
          <w:ilvl w:val="0"/>
          <w:numId w:val="3"/>
        </w:numPr>
        <w:spacing w:before="40" w:after="40"/>
      </w:pPr>
      <w:r>
        <w:rPr>
          <w:rFonts w:ascii="Arial" w:cs="Arial" w:eastAsia="Arial" w:hAnsi="Arial"/>
          <w:sz w:val="22"/>
          <w:szCs w:val="22"/>
        </w:rPr>
        <w:t xml:space="preserve">AFFORDABLE ELECTRICAL, LLC</w:t>
      </w:r>
    </w:p>
    <w:p>
      <w:pPr>
        <w:pStyle w:val="ListParagraph"/>
        <w:numPr>
          <w:ilvl w:val="0"/>
          <w:numId w:val="3"/>
        </w:numPr>
        <w:spacing w:before="40" w:after="40"/>
      </w:pPr>
      <w:r>
        <w:rPr>
          <w:rFonts w:ascii="Arial" w:cs="Arial" w:eastAsia="Arial" w:hAnsi="Arial"/>
          <w:sz w:val="22"/>
          <w:szCs w:val="22"/>
        </w:rPr>
        <w:t xml:space="preserve">ALL IN ELECTRIC</w:t>
      </w:r>
    </w:p>
    <w:p>
      <w:pPr>
        <w:pStyle w:val="ListParagraph"/>
        <w:numPr>
          <w:ilvl w:val="0"/>
          <w:numId w:val="3"/>
        </w:numPr>
        <w:spacing w:before="40" w:after="40"/>
      </w:pPr>
      <w:r>
        <w:rPr>
          <w:rFonts w:ascii="Arial" w:cs="Arial" w:eastAsia="Arial" w:hAnsi="Arial"/>
          <w:sz w:val="22"/>
          <w:szCs w:val="22"/>
        </w:rPr>
        <w:t xml:space="preserve">BREMERTON HOUSING AUTHORITY</w:t>
      </w:r>
    </w:p>
    <w:p>
      <w:pPr>
        <w:pStyle w:val="ListParagraph"/>
        <w:numPr>
          <w:ilvl w:val="0"/>
          <w:numId w:val="3"/>
        </w:numPr>
        <w:spacing w:before="40" w:after="40"/>
      </w:pPr>
      <w:r>
        <w:rPr>
          <w:rFonts w:ascii="Arial" w:cs="Arial" w:eastAsia="Arial" w:hAnsi="Arial"/>
          <w:sz w:val="22"/>
          <w:szCs w:val="22"/>
        </w:rPr>
        <w:t xml:space="preserve">POWER TO THE PEOPLE ENERGY</w:t>
      </w:r>
    </w:p>
    <w:p>
      <w:pPr>
        <w:pStyle w:val="ListParagraph"/>
        <w:numPr>
          <w:ilvl w:val="0"/>
          <w:numId w:val="3"/>
        </w:numPr>
        <w:spacing w:before="40" w:after="40"/>
      </w:pPr>
      <w:r>
        <w:rPr>
          <w:rFonts w:ascii="Arial" w:cs="Arial" w:eastAsia="Arial" w:hAnsi="Arial"/>
          <w:sz w:val="22"/>
          <w:szCs w:val="22"/>
        </w:rPr>
        <w:t xml:space="preserve">RESIDENTIAL ELECTRICAL SERVICES-46</w:t>
      </w:r>
    </w:p>
    <w:p>
      <w:pPr>
        <w:pStyle w:val="ListParagraph"/>
        <w:numPr>
          <w:ilvl w:val="0"/>
          <w:numId w:val="3"/>
        </w:numPr>
        <w:spacing w:before="40" w:after="40"/>
      </w:pPr>
      <w:r>
        <w:rPr>
          <w:rFonts w:ascii="Arial" w:cs="Arial" w:eastAsia="Arial" w:hAnsi="Arial"/>
          <w:sz w:val="22"/>
          <w:szCs w:val="22"/>
        </w:rPr>
        <w:t xml:space="preserve">WEST SEATTLE NATURAL ENERGY, LLC</w:t>
      </w:r>
    </w:p>
    <w:p>
      <w:pPr>
        <w:pStyle w:val="ListParagraph"/>
        <w:numPr>
          <w:ilvl w:val="0"/>
          <w:numId w:val="3"/>
        </w:numPr>
        <w:spacing w:before="40" w:after="40"/>
      </w:pPr>
      <w:r>
        <w:rPr>
          <w:rFonts w:ascii="Arial" w:cs="Arial" w:eastAsia="Arial" w:hAnsi="Arial"/>
          <w:sz w:val="22"/>
          <w:szCs w:val="22"/>
        </w:rPr>
        <w:t xml:space="preserve">SUE'S WESTSIDE ELECTRIC, LLC</w:t>
      </w:r>
    </w:p>
    <w:p>
      <w:pPr>
        <w:pStyle w:val="ListParagraph"/>
        <w:numPr>
          <w:ilvl w:val="0"/>
          <w:numId w:val="3"/>
        </w:numPr>
        <w:spacing w:before="40" w:after="40"/>
      </w:pPr>
      <w:r>
        <w:rPr>
          <w:rFonts w:ascii="Arial" w:cs="Arial" w:eastAsia="Arial" w:hAnsi="Arial"/>
          <w:sz w:val="22"/>
          <w:szCs w:val="22"/>
        </w:rPr>
        <w:t xml:space="preserve">YOUR ELECTRIC COMPANY, LLC</w:t>
      </w:r>
    </w:p>
    <w:p>
      <w:pPr>
        <w:spacing w:before="80" w:after="80"/>
        <w:jc w:val="left"/>
      </w:pPr>
      <w:r>
        <w:rPr>
          <w:rFonts w:ascii="Arial" w:cs="Arial" w:eastAsia="Arial" w:hAnsi="Arial"/>
          <w:b w:val="false"/>
          <w:bCs w:val="false"/>
          <w:i/>
          <w:iCs/>
          <w:color w:val="000000"/>
          <w:sz w:val="22"/>
          <w:szCs w:val="22"/>
        </w:rPr>
        <w:t xml:space="preserve">Plus 42 others (full list in Appendix A of the Markdown analysis document).</w:t>
      </w:r>
    </w:p>
    <w:p>
      <w:pPr>
        <w:pStyle w:val="Heading2"/>
        <w:spacing w:before="200" w:after="100"/>
      </w:pPr>
      <w:r>
        <w:t xml:space="preserve">7.3 Schema Impact</w:t>
      </w:r>
    </w:p>
    <w:p>
      <w:pPr>
        <w:pStyle w:val="ListParagraph"/>
        <w:numPr>
          <w:ilvl w:val="0"/>
          <w:numId w:val="3"/>
        </w:numPr>
        <w:spacing w:before="40" w:after="40"/>
      </w:pPr>
      <w:r>
        <w:rPr>
          <w:rFonts w:ascii="Arial" w:cs="Arial" w:eastAsia="Arial" w:hAnsi="Arial"/>
          <w:sz w:val="22"/>
          <w:szCs w:val="22"/>
        </w:rPr>
        <w:t xml:space="preserve">employer_contracts table: Add RESIDENTIAL to contract_code domain</w:t>
      </w:r>
    </w:p>
    <w:p>
      <w:pPr>
        <w:pStyle w:val="ListParagraph"/>
        <w:numPr>
          <w:ilvl w:val="0"/>
          <w:numId w:val="3"/>
        </w:numPr>
        <w:spacing w:before="40" w:after="40"/>
      </w:pPr>
      <w:r>
        <w:rPr>
          <w:rFonts w:ascii="Arial" w:cs="Arial" w:eastAsia="Arial" w:hAnsi="Arial"/>
          <w:sz w:val="22"/>
          <w:szCs w:val="22"/>
        </w:rPr>
        <w:t xml:space="preserve">Continuity Doc §5.2: Employer counts must be recalculated</w:t>
      </w:r>
    </w:p>
    <w:p>
      <w:pPr>
        <w:pStyle w:val="ListParagraph"/>
        <w:numPr>
          <w:ilvl w:val="0"/>
          <w:numId w:val="3"/>
        </w:numPr>
        <w:spacing w:before="40" w:after="40"/>
      </w:pPr>
      <w:r>
        <w:rPr>
          <w:rFonts w:ascii="Arial" w:cs="Arial" w:eastAsia="Arial" w:hAnsi="Arial"/>
          <w:sz w:val="22"/>
          <w:szCs w:val="22"/>
        </w:rPr>
        <w:t xml:space="preserve">Continuity Doc §5.2: Multi-contract distribution must be updated</w:t>
      </w:r>
    </w:p>
    <w:p>
      <w:pPr>
        <w:pStyle w:val="Heading2"/>
        <w:spacing w:before="200" w:after="100"/>
      </w:pPr>
      <w:r>
        <w:t xml:space="preserve">7.4 Questions for Dispatch Staff</w:t>
      </w:r>
    </w:p>
    <w:p>
      <w:pPr>
        <w:pStyle w:val="ListParagraph"/>
        <w:numPr>
          <w:ilvl w:val="0"/>
          <w:numId w:val="3"/>
        </w:numPr>
        <w:spacing w:before="40" w:after="40"/>
      </w:pPr>
      <w:r>
        <w:rPr>
          <w:rFonts w:ascii="Arial" w:cs="Arial" w:eastAsia="Arial" w:hAnsi="Arial"/>
          <w:sz w:val="22"/>
          <w:szCs w:val="22"/>
        </w:rPr>
        <w:t xml:space="preserve">Does RESIDENTIAL have its own out-of-work book, or are members dispatched from WIRE books?</w:t>
      </w:r>
    </w:p>
    <w:p>
      <w:pPr>
        <w:pStyle w:val="ListParagraph"/>
        <w:numPr>
          <w:ilvl w:val="0"/>
          <w:numId w:val="3"/>
        </w:numPr>
        <w:spacing w:before="40" w:after="40"/>
      </w:pPr>
      <w:r>
        <w:rPr>
          <w:rFonts w:ascii="Arial" w:cs="Arial" w:eastAsia="Arial" w:hAnsi="Arial"/>
          <w:sz w:val="22"/>
          <w:szCs w:val="22"/>
        </w:rPr>
        <w:t xml:space="preserve">Are RESIDENTIAL wage rates different from WIREPERSON?</w:t>
      </w:r>
    </w:p>
    <w:p>
      <w:pPr>
        <w:pStyle w:val="ListParagraph"/>
        <w:numPr>
          <w:ilvl w:val="0"/>
          <w:numId w:val="3"/>
        </w:numPr>
        <w:spacing w:before="40" w:after="40"/>
      </w:pPr>
      <w:r>
        <w:rPr>
          <w:rFonts w:ascii="Arial" w:cs="Arial" w:eastAsia="Arial" w:hAnsi="Arial"/>
          <w:sz w:val="22"/>
          <w:szCs w:val="22"/>
        </w:rPr>
        <w:t xml:space="preserve">What dispatch rules differ for residential work?</w:t>
      </w:r>
    </w:p>
    <w:p>
      <w:r>
        <w:br w:type="page"/>
      </w:r>
    </w:p>
    <w:p>
      <w:pPr>
        <w:pStyle w:val="Heading1"/>
        <w:spacing w:before="200" w:after="100"/>
      </w:pPr>
      <w:r>
        <w:t xml:space="preserve">8. Critical Finding: Book Name ≠ Contract Code</w:t>
      </w:r>
    </w:p>
    <w:p>
      <w:pPr>
        <w:shd w:fill="F8D7DA" w:val="clear"/>
        <w:spacing w:before="120" w:after="120"/>
        <w:ind w:left="200" w:right="200"/>
      </w:pPr>
      <w:r>
        <w:rPr>
          <w:rFonts w:ascii="Arial" w:cs="Arial" w:eastAsia="Arial" w:hAnsi="Arial"/>
          <w:b/>
          <w:bCs/>
          <w:sz w:val="22"/>
          <w:szCs w:val="22"/>
        </w:rPr>
        <w:t xml:space="preserve">⚠️  SCHEMA CORRECTION REQUIRED: Book names and contract codes do not map 1:1</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6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Name (Reg List)</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Code (Emp List)</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Mismatch?</w:t>
            </w:r>
          </w:p>
        </w:tc>
        <w:tc>
          <w:tcPr>
            <w:tcW w:type="dxa" w:w="2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SEATTLE/BREM/PA</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Different naming</w:t>
            </w:r>
          </w:p>
        </w:tc>
        <w:tc>
          <w:tcPr>
            <w:tcW w:type="dxa" w:w="2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Regional books</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match)</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UNKNOWN</w:t>
            </w:r>
          </w:p>
        </w:tc>
        <w:tc>
          <w:tcPr>
            <w:tcW w:type="dxa" w:w="2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employer contract list</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match)</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UNKNOWN</w:t>
            </w:r>
          </w:p>
        </w:tc>
        <w:tc>
          <w:tcPr>
            <w:tcW w:type="dxa" w:w="2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employer contract list</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STOCKMAN</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STOCKPERSON</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DIRECT MISMATCH</w:t>
            </w:r>
          </w:p>
        </w:tc>
        <w:tc>
          <w:tcPr>
            <w:tcW w:type="dxa" w:w="2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Different names for same classification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match)</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NONE</w:t>
            </w:r>
          </w:p>
        </w:tc>
        <w:tc>
          <w:tcPr>
            <w:tcW w:type="dxa" w:w="2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employer contract exists</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WIRE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match)</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TERO-SPECIFIC</w:t>
            </w:r>
          </w:p>
        </w:tc>
        <w:tc>
          <w:tcPr>
            <w:tcW w:type="dxa" w:w="2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Agreement-based book</w:t>
            </w:r>
          </w:p>
        </w:tc>
      </w:tr>
    </w:tbl>
    <w:p>
      <w:pPr>
        <w:pStyle w:val="Heading3"/>
        <w:spacing w:before="200" w:after="100"/>
      </w:pPr>
      <w:r>
        <w:t xml:space="preserve">Schema Correction</w:t>
      </w:r>
    </w:p>
    <w:p>
      <w:pPr>
        <w:spacing w:before="80" w:after="80"/>
        <w:jc w:val="left"/>
      </w:pPr>
      <w:r>
        <w:rPr>
          <w:rFonts w:ascii="Arial" w:cs="Arial" w:eastAsia="Arial" w:hAnsi="Arial"/>
          <w:b w:val="false"/>
          <w:bCs w:val="false"/>
          <w:i w:val="false"/>
          <w:iCs w:val="false"/>
          <w:color w:val="000000"/>
          <w:sz w:val="22"/>
          <w:szCs w:val="22"/>
        </w:rPr>
        <w:t xml:space="preserve">The Continuity Doc §9.2 referral_books schema assumed classification maps directly to contract codes. This is incorrect. The corrected schema needs:</w:t>
      </w:r>
    </w:p>
    <w:p>
      <w:pPr>
        <w:pStyle w:val="ListParagraph"/>
        <w:numPr>
          <w:ilvl w:val="0"/>
          <w:numId w:val="3"/>
        </w:numPr>
        <w:spacing w:before="40" w:after="40"/>
      </w:pPr>
      <w:r>
        <w:rPr>
          <w:rFonts w:ascii="Arial" w:cs="Arial" w:eastAsia="Arial" w:hAnsi="Arial"/>
          <w:b/>
          <w:bCs/>
          <w:sz w:val="22"/>
          <w:szCs w:val="22"/>
        </w:rPr>
        <w:t xml:space="preserve">book_name: </w:t>
      </w:r>
      <w:r>
        <w:rPr>
          <w:rFonts w:ascii="Arial" w:cs="Arial" w:eastAsia="Arial" w:hAnsi="Arial"/>
          <w:sz w:val="22"/>
          <w:szCs w:val="22"/>
        </w:rPr>
        <w:t xml:space="preserve">Exact LaborPower name (e.g., "STOCKMAN")</w:t>
      </w:r>
    </w:p>
    <w:p>
      <w:pPr>
        <w:pStyle w:val="ListParagraph"/>
        <w:numPr>
          <w:ilvl w:val="0"/>
          <w:numId w:val="3"/>
        </w:numPr>
        <w:spacing w:before="40" w:after="40"/>
      </w:pPr>
      <w:r>
        <w:rPr>
          <w:rFonts w:ascii="Arial" w:cs="Arial" w:eastAsia="Arial" w:hAnsi="Arial"/>
          <w:b/>
          <w:bCs/>
          <w:sz w:val="22"/>
          <w:szCs w:val="22"/>
        </w:rPr>
        <w:t xml:space="preserve">classification: </w:t>
      </w:r>
      <w:r>
        <w:rPr>
          <w:rFonts w:ascii="Arial" w:cs="Arial" w:eastAsia="Arial" w:hAnsi="Arial"/>
          <w:sz w:val="22"/>
          <w:szCs w:val="22"/>
        </w:rPr>
        <w:t xml:space="preserve">Logical grouping (e.g., "STOCKMAN")</w:t>
      </w:r>
    </w:p>
    <w:p>
      <w:pPr>
        <w:pStyle w:val="ListParagraph"/>
        <w:numPr>
          <w:ilvl w:val="0"/>
          <w:numId w:val="3"/>
        </w:numPr>
        <w:spacing w:before="40" w:after="40"/>
      </w:pPr>
      <w:r>
        <w:rPr>
          <w:rFonts w:ascii="Arial" w:cs="Arial" w:eastAsia="Arial" w:hAnsi="Arial"/>
          <w:b/>
          <w:bCs/>
          <w:sz w:val="22"/>
          <w:szCs w:val="22"/>
        </w:rPr>
        <w:t xml:space="preserve">contract_code: </w:t>
      </w:r>
      <w:r>
        <w:rPr>
          <w:rFonts w:ascii="Arial" w:cs="Arial" w:eastAsia="Arial" w:hAnsi="Arial"/>
          <w:sz w:val="22"/>
          <w:szCs w:val="22"/>
        </w:rPr>
        <w:t xml:space="preserve">FK to contract type (e.g., "STOCKPERSON") — nullable for books without contracts</w:t>
      </w:r>
    </w:p>
    <w:p>
      <w:pPr>
        <w:spacing w:before="80" w:after="80"/>
        <w:jc w:val="left"/>
      </w:pPr>
      <w:r>
        <w:rPr>
          <w:rFonts w:ascii="Arial" w:cs="Arial" w:eastAsia="Arial" w:hAnsi="Arial"/>
          <w:b w:val="false"/>
          <w:bCs w:val="false"/>
          <w:i w:val="false"/>
          <w:iCs w:val="false"/>
          <w:color w:val="000000"/>
          <w:sz w:val="22"/>
          <w:szCs w:val="22"/>
        </w:rPr>
        <w:t xml:space="preserve">The book_name → contract_code mapping must be explicit and configurable, not derived.</w:t>
      </w:r>
    </w:p>
    <w:p>
      <w:r>
        <w:br w:type="page"/>
      </w:r>
    </w:p>
    <w:p>
      <w:pPr>
        <w:pStyle w:val="Heading1"/>
        <w:spacing w:before="200" w:after="100"/>
      </w:pPr>
      <w:r>
        <w:t xml:space="preserve">9. Critical Finding: TERO APPR WIRE — Compound Book Type</w:t>
      </w:r>
    </w:p>
    <w:p>
      <w:pPr>
        <w:spacing w:before="80" w:after="80"/>
        <w:jc w:val="left"/>
      </w:pPr>
      <w:r>
        <w:rPr>
          <w:rFonts w:ascii="Arial" w:cs="Arial" w:eastAsia="Arial" w:hAnsi="Arial"/>
          <w:b w:val="false"/>
          <w:bCs w:val="false"/>
          <w:i w:val="false"/>
          <w:iCs w:val="false"/>
          <w:color w:val="000000"/>
          <w:sz w:val="22"/>
          <w:szCs w:val="22"/>
        </w:rPr>
        <w:t xml:space="preserve">TERO APPR WIRE is a new book type that encodes three pieces of information in its name: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6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4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TERO</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Agreement type</w:t>
            </w:r>
          </w:p>
        </w:tc>
        <w:tc>
          <w:tcPr>
            <w:tcW w:type="dxa" w:w="4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Tribal Employment Rights Ordinance (Rule 4)</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APPR</w:t>
            </w:r>
          </w:p>
        </w:tc>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Work level</w:t>
            </w:r>
          </w:p>
        </w:tc>
        <w:tc>
          <w:tcPr>
            <w:tcW w:type="dxa" w:w="4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Apprentice</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WIRE</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Classification</w:t>
            </w:r>
          </w:p>
        </w:tc>
        <w:tc>
          <w:tcPr>
            <w:tcW w:type="dxa" w:w="4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r>
    </w:tbl>
    <w:p>
      <w:pPr>
        <w:spacing w:before="80" w:after="80"/>
        <w:jc w:val="left"/>
      </w:pPr>
      <w:r>
        <w:rPr>
          <w:rFonts w:ascii="Arial" w:cs="Arial" w:eastAsia="Arial" w:hAnsi="Arial"/>
          <w:b w:val="false"/>
          <w:bCs w:val="false"/>
          <w:i w:val="false"/>
          <w:iCs w:val="false"/>
          <w:color w:val="000000"/>
          <w:sz w:val="22"/>
          <w:szCs w:val="22"/>
        </w:rPr>
        <w:t xml:space="preserve">Only 2 registrations, both Book 1, dating to July–August 2025.</w:t>
      </w:r>
    </w:p>
    <w:p>
      <w:pPr>
        <w:pStyle w:val="Heading3"/>
        <w:spacing w:before="200" w:after="100"/>
      </w:pPr>
      <w:r>
        <w:t xml:space="preserve">Implications</w:t>
      </w:r>
    </w:p>
    <w:p>
      <w:pPr>
        <w:pStyle w:val="ListParagraph"/>
        <w:numPr>
          <w:ilvl w:val="0"/>
          <w:numId w:val="4"/>
        </w:numPr>
        <w:spacing w:before="40" w:after="40"/>
      </w:pPr>
      <w:r>
        <w:rPr>
          <w:rFonts w:ascii="Arial" w:cs="Arial" w:eastAsia="Arial" w:hAnsi="Arial"/>
          <w:b/>
          <w:bCs/>
          <w:sz w:val="22"/>
          <w:szCs w:val="22"/>
        </w:rPr>
        <w:t xml:space="preserve">Rule 4 validated: </w:t>
      </w:r>
      <w:r>
        <w:rPr>
          <w:rFonts w:ascii="Arial" w:cs="Arial" w:eastAsia="Arial" w:hAnsi="Arial"/>
          <w:sz w:val="22"/>
          <w:szCs w:val="22"/>
        </w:rPr>
        <w:t xml:space="preserve">PLA/CWA/TERO agreements create their own referral books, separate from standard classification books</w:t>
      </w:r>
    </w:p>
    <w:p>
      <w:pPr>
        <w:pStyle w:val="ListParagraph"/>
        <w:numPr>
          <w:ilvl w:val="0"/>
          <w:numId w:val="4"/>
        </w:numPr>
        <w:spacing w:before="40" w:after="40"/>
      </w:pPr>
      <w:r>
        <w:rPr>
          <w:rFonts w:ascii="Arial" w:cs="Arial" w:eastAsia="Arial" w:hAnsi="Arial"/>
          <w:b/>
          <w:bCs/>
          <w:sz w:val="22"/>
          <w:szCs w:val="22"/>
        </w:rPr>
        <w:t xml:space="preserve">Apprentice-level books exist: </w:t>
      </w:r>
      <w:r>
        <w:rPr>
          <w:rFonts w:ascii="Arial" w:cs="Arial" w:eastAsia="Arial" w:hAnsi="Arial"/>
          <w:sz w:val="22"/>
          <w:szCs w:val="22"/>
        </w:rPr>
        <w:t xml:space="preserve">The APPR designation means apprentices have separate dispatch books from journeymen</w:t>
      </w:r>
    </w:p>
    <w:p>
      <w:pPr>
        <w:pStyle w:val="ListParagraph"/>
        <w:numPr>
          <w:ilvl w:val="0"/>
          <w:numId w:val="4"/>
        </w:numPr>
        <w:spacing w:before="40" w:after="40"/>
      </w:pPr>
      <w:r>
        <w:rPr>
          <w:rFonts w:ascii="Arial" w:cs="Arial" w:eastAsia="Arial" w:hAnsi="Arial"/>
          <w:b/>
          <w:bCs/>
          <w:sz w:val="22"/>
          <w:szCs w:val="22"/>
        </w:rPr>
        <w:t xml:space="preserve">Naming convention extends: </w:t>
      </w:r>
      <w:r>
        <w:rPr>
          <w:rFonts w:ascii="Arial" w:cs="Arial" w:eastAsia="Arial" w:hAnsi="Arial"/>
          <w:sz w:val="22"/>
          <w:szCs w:val="22"/>
        </w:rPr>
        <w:t xml:space="preserve">There may be other compound books not yet exported (e.g., PLA WIRE, CWA WIRE, TERO APPR S&amp;C, etc.)</w:t>
      </w:r>
    </w:p>
    <w:p>
      <w:pPr>
        <w:pStyle w:val="ListParagraph"/>
        <w:numPr>
          <w:ilvl w:val="0"/>
          <w:numId w:val="4"/>
        </w:numPr>
        <w:spacing w:before="40" w:after="40"/>
      </w:pPr>
      <w:r>
        <w:rPr>
          <w:rFonts w:ascii="Arial" w:cs="Arial" w:eastAsia="Arial" w:hAnsi="Arial"/>
          <w:b/>
          <w:bCs/>
          <w:sz w:val="22"/>
          <w:szCs w:val="22"/>
        </w:rPr>
        <w:t xml:space="preserve">Schema must support: </w:t>
      </w:r>
      <w:r>
        <w:rPr>
          <w:rFonts w:ascii="Arial" w:cs="Arial" w:eastAsia="Arial" w:hAnsi="Arial"/>
          <w:sz w:val="22"/>
          <w:szCs w:val="22"/>
        </w:rPr>
        <w:t xml:space="preserve">agreement_type + work_level + classification as distinct columns, not just book_name</w:t>
      </w:r>
    </w:p>
    <w:p>
      <w:pPr>
        <w:pStyle w:val="Heading3"/>
        <w:spacing w:before="200" w:after="100"/>
      </w:pPr>
      <w:r>
        <w:t xml:space="preserve">Questions for Dispatch Staff</w:t>
      </w:r>
    </w:p>
    <w:p>
      <w:pPr>
        <w:pStyle w:val="ListParagraph"/>
        <w:numPr>
          <w:ilvl w:val="0"/>
          <w:numId w:val="3"/>
        </w:numPr>
        <w:spacing w:before="40" w:after="40"/>
      </w:pPr>
      <w:r>
        <w:rPr>
          <w:rFonts w:ascii="Arial" w:cs="Arial" w:eastAsia="Arial" w:hAnsi="Arial"/>
          <w:sz w:val="22"/>
          <w:szCs w:val="22"/>
        </w:rPr>
        <w:t xml:space="preserve">Are there other TERO/PLA/CWA books? (TERO APPR S&amp;C? PLA WIRE?)</w:t>
      </w:r>
    </w:p>
    <w:p>
      <w:pPr>
        <w:pStyle w:val="ListParagraph"/>
        <w:numPr>
          <w:ilvl w:val="0"/>
          <w:numId w:val="3"/>
        </w:numPr>
        <w:spacing w:before="40" w:after="40"/>
      </w:pPr>
      <w:r>
        <w:rPr>
          <w:rFonts w:ascii="Arial" w:cs="Arial" w:eastAsia="Arial" w:hAnsi="Arial"/>
          <w:sz w:val="22"/>
          <w:szCs w:val="22"/>
        </w:rPr>
        <w:t xml:space="preserve">Do TERO APPR members dispatch from this book only, or also eligible for standard WIRE books?</w:t>
      </w:r>
    </w:p>
    <w:p>
      <w:pPr>
        <w:pStyle w:val="ListParagraph"/>
        <w:numPr>
          <w:ilvl w:val="0"/>
          <w:numId w:val="3"/>
        </w:numPr>
        <w:spacing w:before="40" w:after="40"/>
      </w:pPr>
      <w:r>
        <w:rPr>
          <w:rFonts w:ascii="Arial" w:cs="Arial" w:eastAsia="Arial" w:hAnsi="Arial"/>
          <w:sz w:val="22"/>
          <w:szCs w:val="22"/>
        </w:rPr>
        <w:t xml:space="preserve">What wage rates apply — TERO agreement rates or standard WIREPERSON rates?</w:t>
      </w:r>
    </w:p>
    <w:p>
      <w:r>
        <w:br w:type="page"/>
      </w:r>
    </w:p>
    <w:p>
      <w:pPr>
        <w:pStyle w:val="Heading1"/>
        <w:spacing w:before="200" w:after="100"/>
      </w:pPr>
      <w:r>
        <w:t xml:space="preserve">10. Critical Finding: Duplicate Employer Records</w:t>
      </w:r>
    </w:p>
    <w:p>
      <w:pPr>
        <w:spacing w:before="80" w:after="80"/>
        <w:jc w:val="left"/>
      </w:pPr>
      <w:r>
        <w:rPr>
          <w:rFonts w:ascii="Arial" w:cs="Arial" w:eastAsia="Arial" w:hAnsi="Arial"/>
          <w:b w:val="false"/>
          <w:bCs w:val="false"/>
          <w:i w:val="false"/>
          <w:iCs w:val="false"/>
          <w:color w:val="000000"/>
          <w:sz w:val="22"/>
          <w:szCs w:val="22"/>
        </w:rPr>
        <w:t xml:space="preserve">Significant duplicate entries exist within the same contract code. These are NOT cross-contract duplicates (which are expected) but multiple entries for the same employer under the same contract.</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3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Code</w:t>
            </w:r>
          </w:p>
        </w:tc>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Employers w/ Dupes</w:t>
            </w:r>
          </w:p>
        </w:tc>
        <w:tc>
          <w:tcPr>
            <w:tcW w:type="dxa" w:w="2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Max Occurrences</w:t>
            </w:r>
          </w:p>
        </w:tc>
        <w:tc>
          <w:tcPr>
            <w:tcW w:type="dxa" w:w="2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Worst Offender</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ELECTRICAL CONSTRUCTION CO</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~35+</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2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SEACOM CABLING / ELEC CONST CO</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ELECTRICAL CONSTRUCTION CO</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RESIDENTIAL</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2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ELECTRICAL CONSTRUCTION CO</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ELECTRICAL CONSTRUCTION CO</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GROUP MARINE</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2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2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Clean</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MARKET RECOVERY</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w:t>
            </w:r>
          </w:p>
        </w:tc>
        <w:tc>
          <w:tcPr>
            <w:tcW w:type="dxa" w:w="2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2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Only 1 record</w:t>
            </w:r>
          </w:p>
        </w:tc>
      </w:tr>
    </w:tbl>
    <w:p>
      <w:pPr>
        <w:pStyle w:val="Heading3"/>
        <w:spacing w:before="200" w:after="100"/>
      </w:pPr>
      <w:r>
        <w:t xml:space="preserve">Hypothesis</w:t>
      </w:r>
    </w:p>
    <w:p>
      <w:pPr>
        <w:spacing w:before="80" w:after="80"/>
        <w:jc w:val="left"/>
      </w:pPr>
      <w:r>
        <w:rPr>
          <w:rFonts w:ascii="Arial" w:cs="Arial" w:eastAsia="Arial" w:hAnsi="Arial"/>
          <w:b w:val="false"/>
          <w:bCs w:val="false"/>
          <w:i w:val="false"/>
          <w:iCs w:val="false"/>
          <w:color w:val="000000"/>
          <w:sz w:val="22"/>
          <w:szCs w:val="22"/>
        </w:rPr>
        <w:t xml:space="preserve">Duplicates likely represent multiple contract periods (renewed contracts with different effective dates) or multiple business locations/DBAs under the same employer name. The LaborPower export does not include contract dates or unique identifiers.</w:t>
      </w:r>
    </w:p>
    <w:p>
      <w:pPr>
        <w:pStyle w:val="Heading3"/>
        <w:spacing w:before="200" w:after="100"/>
      </w:pPr>
      <w:r>
        <w:t xml:space="preserve">Migration Strategy</w:t>
      </w:r>
    </w:p>
    <w:p>
      <w:pPr>
        <w:pStyle w:val="ListParagraph"/>
        <w:numPr>
          <w:ilvl w:val="0"/>
          <w:numId w:val="3"/>
        </w:numPr>
        <w:spacing w:before="40" w:after="40"/>
      </w:pPr>
      <w:r>
        <w:rPr>
          <w:rFonts w:ascii="Arial" w:cs="Arial" w:eastAsia="Arial" w:hAnsi="Arial"/>
          <w:sz w:val="22"/>
          <w:szCs w:val="22"/>
        </w:rPr>
        <w:t xml:space="preserve">Cannot deduplicate by name alone without risk of merging distinct relationships</w:t>
      </w:r>
    </w:p>
    <w:p>
      <w:pPr>
        <w:pStyle w:val="ListParagraph"/>
        <w:numPr>
          <w:ilvl w:val="0"/>
          <w:numId w:val="3"/>
        </w:numPr>
        <w:spacing w:before="40" w:after="40"/>
      </w:pPr>
      <w:r>
        <w:rPr>
          <w:rFonts w:ascii="Arial" w:cs="Arial" w:eastAsia="Arial" w:hAnsi="Arial"/>
          <w:sz w:val="22"/>
          <w:szCs w:val="22"/>
        </w:rPr>
        <w:t xml:space="preserve">Need the EMPLOYCONTRACT custom report (Priority 1 Gap #3) to see effective dates and contract IDs</w:t>
      </w:r>
    </w:p>
    <w:p>
      <w:pPr>
        <w:pStyle w:val="ListParagraph"/>
        <w:numPr>
          <w:ilvl w:val="0"/>
          <w:numId w:val="3"/>
        </w:numPr>
        <w:spacing w:before="40" w:after="40"/>
      </w:pPr>
      <w:r>
        <w:rPr>
          <w:rFonts w:ascii="Arial" w:cs="Arial" w:eastAsia="Arial" w:hAnsi="Arial"/>
          <w:b/>
          <w:bCs/>
          <w:sz w:val="22"/>
          <w:szCs w:val="22"/>
        </w:rPr>
        <w:t xml:space="preserve">Import strategy: </w:t>
      </w:r>
      <w:r>
        <w:rPr>
          <w:rFonts w:ascii="Arial" w:cs="Arial" w:eastAsia="Arial" w:hAnsi="Arial"/>
          <w:sz w:val="22"/>
          <w:szCs w:val="22"/>
        </w:rPr>
        <w:t xml:space="preserve">Import all records as-is, then deduplicate programmatically using additional metadata once EMPLOYCONTRACT is available</w:t>
      </w:r>
    </w:p>
    <w:p>
      <w:pPr>
        <w:pStyle w:val="ListParagraph"/>
        <w:numPr>
          <w:ilvl w:val="0"/>
          <w:numId w:val="3"/>
        </w:numPr>
        <w:spacing w:before="40" w:after="40"/>
      </w:pPr>
      <w:r>
        <w:rPr>
          <w:rFonts w:ascii="Arial" w:cs="Arial" w:eastAsia="Arial" w:hAnsi="Arial"/>
          <w:sz w:val="22"/>
          <w:szCs w:val="22"/>
        </w:rPr>
        <w:t xml:space="preserve">employer_contracts schema may need contract_period or effective_date to distinguish multiple instances</w:t>
      </w:r>
    </w:p>
    <w:p>
      <w:r>
        <w:br w:type="page"/>
      </w:r>
    </w:p>
    <w:p>
      <w:pPr>
        <w:pStyle w:val="Heading1"/>
        <w:spacing w:before="200" w:after="100"/>
      </w:pPr>
      <w:r>
        <w:t xml:space="preserve">11. Updated Tier Distribution Analysis</w:t>
      </w:r>
    </w:p>
    <w:p>
      <w:pPr>
        <w:spacing w:before="80" w:after="80"/>
        <w:jc w:val="left"/>
      </w:pPr>
      <w:r>
        <w:rPr>
          <w:rFonts w:ascii="Arial" w:cs="Arial" w:eastAsia="Arial" w:hAnsi="Arial"/>
          <w:b w:val="false"/>
          <w:bCs w:val="false"/>
          <w:i w:val="false"/>
          <w:iCs w:val="false"/>
          <w:color w:val="000000"/>
          <w:sz w:val="22"/>
          <w:szCs w:val="22"/>
        </w:rPr>
        <w:t xml:space="preserve">The "Book 3 = Travelers" hypothesis gains significant support from this batch:</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1400"/>
        <w:gridCol w:w="1600"/>
        <w:gridCol w:w="18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1</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2</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3</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18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Interpretation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STOCKMAN</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43</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INVERTED 8.6×</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Heavy traveler work</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112</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17</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131</w:t>
            </w:r>
          </w:p>
        </w:tc>
        <w:tc>
          <w:tcPr>
            <w:tcW w:type="dxa" w:w="1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INVERTED 1.2×</w:t>
            </w:r>
          </w:p>
        </w:tc>
        <w:tc>
          <w:tcPr>
            <w:tcW w:type="dxa" w:w="1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Moderate travelers</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298</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NORMAL</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Local-focused</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WIRE</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6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SINGLE TIER</w:t>
            </w:r>
          </w:p>
        </w:tc>
        <w:tc>
          <w:tcPr>
            <w:tcW w:type="dxa" w:w="18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Too small to analyze</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t>
            </w:r>
          </w:p>
        </w:tc>
        <w:tc>
          <w:tcPr>
            <w:tcW w:type="dxa" w:w="16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SINGLE TIER</w:t>
            </w:r>
          </w:p>
        </w:tc>
        <w:tc>
          <w:tcPr>
            <w:tcW w:type="dxa" w:w="18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Too small to analyze</w:t>
            </w:r>
          </w:p>
        </w:tc>
      </w:tr>
    </w:tbl>
    <w:p>
      <w:pPr>
        <w:spacing w:before="80" w:after="80"/>
        <w:jc w:val="left"/>
      </w:pPr>
      <w:r>
        <w:rPr>
          <w:rFonts w:ascii="Arial" w:cs="Arial" w:eastAsia="Arial" w:hAnsi="Arial"/>
          <w:b w:val="false"/>
          <w:bCs w:val="false"/>
          <w:i w:val="false"/>
          <w:iCs w:val="false"/>
          <w:color w:val="000000"/>
          <w:sz w:val="22"/>
          <w:szCs w:val="22"/>
        </w:rPr>
        <w:t xml:space="preserve">Both STOCKMAN and TECHNICIAN show inverted distributions where Book 3 exceeds Book 1. STOCKMAN is extreme: 43 vs. 5 members. Classifications that attract traveling workers (Technician, Stockman) show more Book 3 members, while locally-focused classifications (Tradeshow) show normal distribution.</w:t>
      </w:r>
    </w:p>
    <w:p>
      <w:pPr>
        <w:pStyle w:val="Heading3"/>
        <w:spacing w:before="200" w:after="100"/>
      </w:pPr>
      <w:r>
        <w:t xml:space="preserve">Tier Semantics Hypothesis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160"/>
      </w:tblGrid>
      <w:tr>
        <w:trPr>
          <w:tblHeader/>
        </w:trPr>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Hypothesis</w:t>
            </w:r>
          </w:p>
        </w:tc>
        <w:tc>
          <w:tcPr>
            <w:tcW w:type="dxa" w:w="5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1</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Local journeymen (A-ticket members)</w:t>
            </w:r>
          </w:p>
        </w:tc>
        <w:tc>
          <w:tcPr>
            <w:tcW w:type="dxa" w:w="5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Largest for Wire books, Tradeshow</w:t>
            </w:r>
          </w:p>
        </w:tc>
      </w:tr>
      <w:tr>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2</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Organized workers / lower-priority locals?</w:t>
            </w:r>
          </w:p>
        </w:tc>
        <w:tc>
          <w:tcPr>
            <w:tcW w:type="dxa" w:w="5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Consistently smallest across all books</w:t>
            </w:r>
          </w:p>
        </w:tc>
      </w:tr>
      <w:tr>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3</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Travelers from other IBEW locals</w:t>
            </w:r>
          </w:p>
        </w:tc>
        <w:tc>
          <w:tcPr>
            <w:tcW w:type="dxa" w:w="5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Largest for Technician, Stockman</w:t>
            </w:r>
          </w:p>
        </w:tc>
      </w:tr>
      <w:tr>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4</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Not yet observed</w:t>
            </w:r>
          </w:p>
        </w:tc>
        <w:tc>
          <w:tcPr>
            <w:tcW w:type="dxa" w:w="5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Mentioned in Rules (max_tiers = 4)</w:t>
            </w:r>
          </w:p>
        </w:tc>
      </w:tr>
    </w:tbl>
    <w:p>
      <w:pPr>
        <w:spacing w:before="80" w:after="80"/>
        <w:jc w:val="left"/>
      </w:pPr>
      <w:r>
        <w:rPr>
          <w:rFonts w:ascii="Arial" w:cs="Arial" w:eastAsia="Arial" w:hAnsi="Arial"/>
          <w:b w:val="false"/>
          <w:bCs w:val="false"/>
          <w:i w:val="false"/>
          <w:iCs w:val="false"/>
          <w:color w:val="000000"/>
          <w:sz w:val="22"/>
          <w:szCs w:val="22"/>
        </w:rPr>
        <w:t xml:space="preserve">Requires confirmation with dispatch staff before encoding tier semantics in schema.</w:t>
      </w:r>
    </w:p>
    <w:p>
      <w:r>
        <w:br w:type="page"/>
      </w:r>
    </w:p>
    <w:p>
      <w:pPr>
        <w:pStyle w:val="Heading1"/>
        <w:spacing w:before="200" w:after="100"/>
      </w:pPr>
      <w:r>
        <w:t xml:space="preserve">12. APN Decimal Range Update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160"/>
      </w:tblGrid>
      <w:tr>
        <w:trPr>
          <w:tblHeader/>
        </w:trPr>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Previous (Vol. 1)</w:t>
            </w:r>
          </w:p>
        </w:tc>
        <w:tc>
          <w:tcPr>
            <w:tcW w:type="dxa" w:w="3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Updated (Vol. 2)</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Decimal range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.01 to .96</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.23 to .91 (this batch)</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Unique decimal values</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53</w:t>
            </w:r>
          </w:p>
        </w:tc>
        <w:tc>
          <w:tcPr>
            <w:tcW w:type="dxa" w:w="3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46 (this batch; combined may differ)</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Schema type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DECIMAL(10,2)</w:t>
            </w:r>
          </w:p>
        </w:tc>
        <w:tc>
          <w:tcPr>
            <w:tcW w:type="dxa" w:w="3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DECIMAL(10,2) ✓ (still correct)</w:t>
            </w:r>
          </w:p>
        </w:tc>
      </w:tr>
    </w:tbl>
    <w:p>
      <w:pPr>
        <w:spacing w:before="80" w:after="80"/>
        <w:jc w:val="left"/>
      </w:pPr>
      <w:r>
        <w:rPr>
          <w:rFonts w:ascii="Arial" w:cs="Arial" w:eastAsia="Arial" w:hAnsi="Arial"/>
          <w:b w:val="false"/>
          <w:bCs w:val="false"/>
          <w:i w:val="false"/>
          <w:iCs w:val="false"/>
          <w:color w:val="000000"/>
          <w:sz w:val="22"/>
          <w:szCs w:val="22"/>
        </w:rPr>
        <w:t xml:space="preserve">The most common decimal values cluster around .34–.70, with outliers at .23, .74, .75, .83, and .91.</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6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Decimal Range</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of Total</w:t>
            </w:r>
          </w:p>
        </w:tc>
        <w:tc>
          <w:tcPr>
            <w:tcW w:type="dxa" w:w="2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Interpretation</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.23–.33</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w:t>
            </w:r>
          </w:p>
        </w:tc>
        <w:tc>
          <w:tcPr>
            <w:tcW w:type="dxa" w:w="2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Rare / early registrations</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.34–.49</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193</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30.5%</w:t>
            </w:r>
          </w:p>
        </w:tc>
        <w:tc>
          <w:tcPr>
            <w:tcW w:type="dxa" w:w="2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Morning processing?</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.50–.65</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278</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44.0%</w:t>
            </w:r>
          </w:p>
        </w:tc>
        <w:tc>
          <w:tcPr>
            <w:tcW w:type="dxa" w:w="2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Midday / main batch</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.66–.91</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154</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24.4%</w:t>
            </w:r>
          </w:p>
        </w:tc>
        <w:tc>
          <w:tcPr>
            <w:tcW w:type="dxa" w:w="2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Afternoon / late adds</w:t>
            </w:r>
          </w:p>
        </w:tc>
      </w:tr>
    </w:tbl>
    <w:p>
      <w:pPr>
        <w:spacing w:before="80" w:after="80"/>
        <w:jc w:val="left"/>
      </w:pPr>
      <w:r>
        <w:rPr>
          <w:rFonts w:ascii="Arial" w:cs="Arial" w:eastAsia="Arial" w:hAnsi="Arial"/>
          <w:b w:val="false"/>
          <w:bCs w:val="false"/>
          <w:i w:val="false"/>
          <w:iCs w:val="false"/>
          <w:color w:val="000000"/>
          <w:sz w:val="22"/>
          <w:szCs w:val="22"/>
        </w:rPr>
        <w:t xml:space="preserve">Revised Hypothesis: The decimal part likely encodes a sequential counter or timestamp within the same registration day. The clustering around .34–.65 suggests most registrations happen during business hours.</w:t>
      </w:r>
    </w:p>
    <w:p>
      <w:r>
        <w:br w:type="page"/>
      </w:r>
    </w:p>
    <w:p>
      <w:pPr>
        <w:pStyle w:val="Heading1"/>
        <w:spacing w:before="200" w:after="100"/>
      </w:pPr>
      <w:r>
        <w:t xml:space="preserve">13. Combined Statistics — Both Batches</w:t>
      </w:r>
    </w:p>
    <w:p>
      <w:pPr>
        <w:pStyle w:val="Heading2"/>
        <w:spacing w:before="200" w:after="100"/>
      </w:pPr>
      <w:r>
        <w:t xml:space="preserve">13.1 Registration Lists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660"/>
      </w:tblGrid>
      <w:tr>
        <w:trPr>
          <w:tblHeader/>
        </w:trPr>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Books</w:t>
            </w:r>
          </w:p>
        </w:tc>
        <w:tc>
          <w:tcPr>
            <w:tcW w:type="dxa" w:w="3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Registrations</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 (Vol. 1)</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SEA/BREM/PA, Technician, Utility Worker</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3,662</w:t>
            </w:r>
          </w:p>
        </w:tc>
      </w:tr>
      <w:tr>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2 NEW only</w:t>
            </w:r>
          </w:p>
        </w:tc>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 TRADESHOW, TERO APPR WIRE</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371</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COMBINED TOTAL</w:t>
            </w:r>
          </w:p>
        </w:tc>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8 unique books</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4,033</w:t>
            </w:r>
          </w:p>
        </w:tc>
      </w:tr>
    </w:tbl>
    <w:p>
      <w:pPr>
        <w:pStyle w:val="Heading2"/>
        <w:spacing w:before="200" w:after="100"/>
      </w:pPr>
      <w:r>
        <w:t xml:space="preserve">13.2 Employer Lists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3260"/>
      </w:tblGrid>
      <w:tr>
        <w:trPr>
          <w:tblHeader/>
        </w:trP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Vol. 1 (7 codes)</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Vol. 2 (7 codes)</w:t>
            </w:r>
          </w:p>
        </w:tc>
        <w:tc>
          <w:tcPr>
            <w:tcW w:type="dxa" w:w="32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Combined Estimate</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Contract codes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 (incl GROUP TV&amp;APPL)</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 (incl RESIDENTIAL)</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9 total</w:t>
            </w:r>
          </w:p>
        </w:tc>
      </w:tr>
      <w:tr>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Unique employers</w:t>
            </w:r>
          </w:p>
        </w:tc>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801</w:t>
            </w:r>
          </w:p>
        </w:tc>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841</w:t>
            </w:r>
          </w:p>
        </w:tc>
        <w:tc>
          <w:tcPr>
            <w:tcW w:type="dxa" w:w="32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~843</w:t>
            </w:r>
          </w:p>
        </w:tc>
      </w:tr>
      <w:tr>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Contract relationships</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1,285</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1,542</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~1,544</w:t>
            </w:r>
          </w:p>
        </w:tc>
      </w:tr>
    </w:tbl>
    <w:p>
      <w:r>
        <w:br w:type="page"/>
      </w:r>
    </w:p>
    <w:p>
      <w:pPr>
        <w:pStyle w:val="Heading1"/>
        <w:spacing w:before="200" w:after="100"/>
      </w:pPr>
      <w:r>
        <w:t xml:space="preserve">14. Complete Book &amp; Contract Catalogs</w:t>
      </w:r>
    </w:p>
    <w:p>
      <w:pPr>
        <w:pStyle w:val="Heading2"/>
        <w:spacing w:before="200" w:after="100"/>
      </w:pPr>
      <w:r>
        <w:t xml:space="preserve">14.1 Complete Book Catalog (All Known)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00"/>
        <w:gridCol w:w="1460"/>
      </w:tblGrid>
      <w:tr>
        <w:trPr>
          <w:tblHeader/>
        </w:trPr>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 Name</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Region</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Agreement</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Level</w:t>
            </w:r>
          </w:p>
        </w:tc>
        <w:tc>
          <w:tcPr>
            <w:tcW w:type="dxa" w:w="1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SEATTLE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Seattle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BREMERTON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Bremerton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PT ANGELES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Pt. Angeles</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Juris-wide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 Worker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Juris-wide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STOCKMAN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Juris-wide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Batch 2</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TRADESHOW</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Juris-wide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(none)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Batch 2</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TERO APPR WIRE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TERO</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APPR</w:t>
            </w:r>
          </w:p>
        </w:tc>
        <w:tc>
          <w:tcPr>
            <w:tcW w:type="dxa" w:w="1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Batch 2</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(implied) S&amp;C</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S&amp;C</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Contract only</w:t>
            </w:r>
          </w:p>
        </w:tc>
      </w:tr>
      <w:tr>
        <w:tc>
          <w:tcPr>
            <w:tcW w:type="dxa" w:w="2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(implied) LFM</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LFM</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Contract only</w:t>
            </w:r>
          </w:p>
        </w:tc>
      </w:tr>
      <w:tr>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(implied) MARINE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Marine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(TBD)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GRP MARINE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Standard</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Contract only</w:t>
            </w:r>
          </w:p>
        </w:tc>
      </w:tr>
    </w:tbl>
    <w:p>
      <w:pPr>
        <w:spacing w:before="80" w:after="80"/>
        <w:jc w:val="left"/>
      </w:pPr>
      <w:r>
        <w:rPr>
          <w:rFonts w:ascii="Arial" w:cs="Arial" w:eastAsia="Arial" w:hAnsi="Arial"/>
          <w:b w:val="false"/>
          <w:bCs w:val="false"/>
          <w:i w:val="false"/>
          <w:iCs w:val="false"/>
          <w:color w:val="000000"/>
          <w:sz w:val="22"/>
          <w:szCs w:val="22"/>
        </w:rPr>
        <w:t xml:space="preserve">Total known books: 11 (8 confirmed from registration lists + 3 implied from contract codes)</w:t>
      </w:r>
    </w:p>
    <w:p>
      <w:pPr>
        <w:spacing w:before="40" w:after="40"/>
      </w:pPr>
    </w:p>
    <w:p>
      <w:pPr>
        <w:pStyle w:val="Heading2"/>
        <w:spacing w:before="200" w:after="100"/>
      </w:pPr>
      <w:r>
        <w:t xml:space="preserve">14.2 Complete Contract Code Catalog</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00"/>
        <w:gridCol w:w="2000"/>
        <w:gridCol w:w="2160"/>
      </w:tblGrid>
      <w:tr>
        <w:trPr>
          <w:tblHeader/>
        </w:trPr>
        <w:tc>
          <w:tcPr>
            <w:tcW w:type="dxa" w:w="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 Code</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Unique Employers</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689</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300</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RESIDENTIAL</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259</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Batch 2 NEW</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NEW</w:t>
            </w:r>
          </w:p>
        </w:tc>
      </w:tr>
      <w:tr>
        <w:tc>
          <w:tcPr>
            <w:tcW w:type="dxa" w:w="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180</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92</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GROUP MARINE</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21</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r>
        <w:tc>
          <w:tcPr>
            <w:tcW w:type="dxa" w:w="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w:t>
            </w:r>
          </w:p>
        </w:tc>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GROUP TV &amp; APPL</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Batch 1 only</w:t>
            </w:r>
          </w:p>
        </w:tc>
        <w:tc>
          <w:tcPr>
            <w:tcW w:type="dxa" w:w="2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Not re-uploaded</w:t>
            </w:r>
          </w:p>
        </w:tc>
      </w:tr>
      <w:tr>
        <w:tc>
          <w:tcPr>
            <w:tcW w:type="dxa" w:w="8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w:t>
            </w:r>
          </w:p>
        </w:tc>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MARKET RECOVERY</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Both batches</w:t>
            </w:r>
          </w:p>
        </w:tc>
        <w:tc>
          <w:tcPr>
            <w:tcW w:type="dxa" w:w="2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Confirmed</w:t>
            </w:r>
          </w:p>
        </w:tc>
      </w:tr>
    </w:tbl>
    <w:p>
      <w:r>
        <w:br w:type="page"/>
      </w:r>
    </w:p>
    <w:p>
      <w:pPr>
        <w:pStyle w:val="Heading1"/>
        <w:spacing w:before="200" w:after="100"/>
      </w:pPr>
      <w:r>
        <w:t xml:space="preserve">15. Updated Schema Corrections</w:t>
      </w:r>
    </w:p>
    <w:p>
      <w:pPr>
        <w:spacing w:before="80" w:after="80"/>
        <w:jc w:val="left"/>
      </w:pPr>
      <w:r>
        <w:rPr>
          <w:rFonts w:ascii="Arial" w:cs="Arial" w:eastAsia="Arial" w:hAnsi="Arial"/>
          <w:b w:val="false"/>
          <w:bCs w:val="false"/>
          <w:i w:val="false"/>
          <w:iCs w:val="false"/>
          <w:color w:val="000000"/>
          <w:sz w:val="22"/>
          <w:szCs w:val="22"/>
        </w:rPr>
        <w:t xml:space="preserve">The following corrections are required to the schema proposed in the Continuity Document §9.</w:t>
      </w:r>
    </w:p>
    <w:p>
      <w:pPr>
        <w:pStyle w:val="Heading2"/>
        <w:spacing w:before="200" w:after="100"/>
      </w:pPr>
      <w:r>
        <w:t xml:space="preserve">15.1 referral_books — REVISED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460"/>
      </w:tblGrid>
      <w:tr>
        <w:trPr>
          <w:tblHeader/>
        </w:trPr>
        <w:tc>
          <w:tcPr>
            <w:tcW w:type="dxa" w:w="3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book_id</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SERIAL PRIMARY KEY</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book_name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VARCHAR(100) NOT NULL UNIQUE</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Exact LaborPower name</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classification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VARCHAR(50) NOT NULL</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Logical grouping</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contract_code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VARCHAR(50) NULLABLE</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FK to contract types; NULL for Tradeshow/TERO</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region</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VARCHAR(50)</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 for non-regional books</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agreement_type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6400"/>
                <w:sz w:val="20"/>
                <w:szCs w:val="20"/>
              </w:rPr>
              <w:t xml:space="preserve">VARCHAR(20) DEFAULT 'STANDARD'</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 STANDARD/PLA/CWA/TERO</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work_level</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6400"/>
                <w:sz w:val="20"/>
                <w:szCs w:val="20"/>
              </w:rPr>
              <w:t xml:space="preserve">VARCHAR(20) DEFAULT 'JOURNEYMAN'</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NEW: JOURNEYMAN/APPRENTICE</w:t>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book_type</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6400"/>
                <w:sz w:val="20"/>
                <w:szCs w:val="20"/>
              </w:rPr>
              <w:t xml:space="preserve">VARCHAR(20) DEFAULT 'PRIMARY'</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 PRIMARY/SUPPLEMENTAL</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max_tiers</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INTEGER DEFAULT 4</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morning_sort_order</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INTEGER</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Per Rule 2</w:t>
            </w:r>
          </w:p>
        </w:tc>
      </w:tr>
      <w:tr>
        <w:tc>
          <w:tcPr>
            <w:tcW w:type="dxa" w:w="3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is_active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BOOLEAN DEFAULT TRUE</w:t>
            </w:r>
          </w:p>
        </w:tc>
        <w:tc>
          <w:tcPr>
            <w:tcW w:type="dxa" w:w="4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3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web_bidding_enabled</w:t>
            </w:r>
          </w:p>
        </w:tc>
        <w:tc>
          <w:tcPr>
            <w:tcW w:type="dxa" w:w="2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BOOLEAN DEFAULT TRUE</w:t>
            </w:r>
          </w:p>
        </w:tc>
        <w:tc>
          <w:tcPr>
            <w:tcW w:type="dxa" w:w="44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bl>
    <w:p>
      <w:pPr>
        <w:spacing w:before="80" w:after="80"/>
        <w:jc w:val="left"/>
      </w:pPr>
      <w:r>
        <w:rPr>
          <w:rFonts w:ascii="Arial" w:cs="Arial" w:eastAsia="Arial" w:hAnsi="Arial"/>
          <w:b/>
          <w:bCs/>
          <w:i w:val="false"/>
          <w:iCs w:val="false"/>
          <w:color w:val="000000"/>
          <w:sz w:val="22"/>
          <w:szCs w:val="22"/>
        </w:rPr>
        <w:t xml:space="preserve">New fields vs. Continuity Doc: agreement_type, work_level, book_type. Contract_code changed from NOT NULL to NULLABLE.</w:t>
      </w:r>
    </w:p>
    <w:p>
      <w:pPr>
        <w:spacing w:before="40" w:after="40"/>
      </w:pPr>
    </w:p>
    <w:p>
      <w:pPr>
        <w:pStyle w:val="Heading2"/>
        <w:spacing w:before="200" w:after="100"/>
      </w:pPr>
      <w:r>
        <w:t xml:space="preserve">15.2 employer_contracts — Domain Update</w:t>
      </w:r>
    </w:p>
    <w:p>
      <w:pPr>
        <w:spacing w:before="80" w:after="80"/>
        <w:jc w:val="left"/>
      </w:pPr>
      <w:r>
        <w:rPr>
          <w:rFonts w:ascii="Arial" w:cs="Arial" w:eastAsia="Arial" w:hAnsi="Arial"/>
          <w:b w:val="false"/>
          <w:bCs w:val="false"/>
          <w:i w:val="false"/>
          <w:iCs w:val="false"/>
          <w:color w:val="000000"/>
          <w:sz w:val="22"/>
          <w:szCs w:val="22"/>
        </w:rPr>
        <w:t xml:space="preserve">Add RESIDENTIAL to valid contract_code values:</w:t>
      </w:r>
    </w:p>
    <w:p>
      <w:pPr>
        <w:spacing w:before="80" w:after="80"/>
        <w:ind w:left="360"/>
        <w:jc w:val="left"/>
      </w:pPr>
      <w:r>
        <w:rPr>
          <w:rFonts w:ascii="Arial" w:cs="Arial" w:eastAsia="Arial" w:hAnsi="Arial"/>
          <w:b/>
          <w:bCs/>
          <w:i w:val="false"/>
          <w:iCs w:val="false"/>
          <w:color w:val="000000"/>
          <w:sz w:val="22"/>
          <w:szCs w:val="22"/>
        </w:rPr>
        <w:t xml:space="preserve">WIREPERSON, SOUND &amp; COMM, STOCKPERSON, LT FXT MAINT, GROUP MARINE, GROUP TV &amp; APPL, MARKET RECOVERY, RESIDENTIAL</w:t>
      </w:r>
    </w:p>
    <w:p>
      <w:pPr>
        <w:spacing w:before="40" w:after="40"/>
      </w:pPr>
    </w:p>
    <w:p>
      <w:pPr>
        <w:pStyle w:val="Heading2"/>
        <w:spacing w:before="200" w:after="100"/>
      </w:pPr>
      <w:r>
        <w:t xml:space="preserve">15.3 Summary of All Schema Changes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660"/>
      </w:tblGrid>
      <w:tr>
        <w:trPr>
          <w:tblHeader/>
        </w:trP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3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Previous (Vol. 1)</w:t>
            </w:r>
          </w:p>
        </w:tc>
        <w:tc>
          <w:tcPr>
            <w:tcW w:type="dxa" w:w="3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Corrected (Vol. 2)</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APN data type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INTEGER</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DECIMAL(10,2) (from Vol. 1)</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APN field name</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position_number</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applicant_priority_number (from Vol. 1)</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Unique constraint</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(member_id, book_id)</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(member_id, book_id, book_priority_number) (from Vol. 1)</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book_priority_number</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Not explicit</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INTEGER CHECK(1–4) (from Vol. 1)</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referral_books.contract_code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NOT NULL</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NULLABLE (Tradeshow, TERO have no contract)</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referral_books.agreement_type</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Not proposed</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 VARCHAR(20) DEFAULT 'STANDARD'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referral_books.work_level</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Not proposed</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NEW: VARCHAR(20) DEFAULT 'JOURNEYMAN'</w:t>
            </w:r>
          </w:p>
        </w:tc>
      </w:tr>
      <w:tr>
        <w:tc>
          <w:tcPr>
            <w:tcW w:type="dxa" w:w="3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referral_books.book_type</w:t>
            </w:r>
          </w:p>
        </w:tc>
        <w:tc>
          <w:tcPr>
            <w:tcW w:type="dxa" w:w="3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0000"/>
                <w:sz w:val="20"/>
                <w:szCs w:val="20"/>
              </w:rPr>
              <w:t xml:space="preserve">Not proposed</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006400"/>
                <w:sz w:val="20"/>
                <w:szCs w:val="20"/>
              </w:rPr>
              <w:t xml:space="preserve">NEW: VARCHAR(20) DEFAULT 'PRIMARY'</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employer_contracts domain</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0000"/>
                <w:sz w:val="20"/>
                <w:szCs w:val="20"/>
              </w:rPr>
              <w:t xml:space="preserve">7 contract codes</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006400"/>
                <w:sz w:val="20"/>
                <w:szCs w:val="20"/>
              </w:rPr>
              <w:t xml:space="preserve">8 codes (+ RESIDENTIAL)</w:t>
            </w:r>
          </w:p>
        </w:tc>
      </w:tr>
    </w:tbl>
    <w:p>
      <w:r>
        <w:br w:type="page"/>
      </w:r>
    </w:p>
    <w:p>
      <w:pPr>
        <w:pStyle w:val="Heading1"/>
        <w:spacing w:before="200" w:after="100"/>
      </w:pPr>
      <w:r>
        <w:t xml:space="preserve">16. Seed Data — referral_books Table</w:t>
      </w:r>
    </w:p>
    <w:p>
      <w:pPr>
        <w:spacing w:before="80" w:after="80"/>
        <w:jc w:val="left"/>
      </w:pPr>
      <w:r>
        <w:rPr>
          <w:rFonts w:ascii="Arial" w:cs="Arial" w:eastAsia="Arial" w:hAnsi="Arial"/>
          <w:b w:val="false"/>
          <w:bCs w:val="false"/>
          <w:i w:val="false"/>
          <w:iCs w:val="false"/>
          <w:color w:val="000000"/>
          <w:sz w:val="22"/>
          <w:szCs w:val="22"/>
        </w:rPr>
        <w:t xml:space="preserve">Proposed INSERT statements based on all confirmed and implied books. Morning sort order based on Rule 2: Inside Wireperson = 1 (8:30 AM), S&amp;C/Marine/Stock/LFM = 2 (9:00 AM), Tradeshow = 3 (9:30 AM).</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1100"/>
        <w:gridCol w:w="1000"/>
        <w:gridCol w:w="1000"/>
        <w:gridCol w:w="1200"/>
        <w:gridCol w:w="1360"/>
      </w:tblGrid>
      <w:tr>
        <w:trPr>
          <w:tblHeader/>
        </w:trP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book_name</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contract</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region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agree.</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sort</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SEATTLE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SEATTLE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BREMERTON</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BREMERTON</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 PT ANGELES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WIREPERSON</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PT ANGELES</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UTILITY WORKER</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UTIL</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STOCKMAN</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STOCKPERSON</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SUPPL</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WIRE</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WIRE</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APPR</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S&amp;C</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SOUND &amp; COMM</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LFM</w:t>
            </w:r>
          </w:p>
        </w:tc>
        <w:tc>
          <w:tcPr>
            <w:tcW w:type="dxa" w:w="13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LT FXT MAINT</w:t>
            </w:r>
          </w:p>
        </w:tc>
        <w:tc>
          <w:tcPr>
            <w:tcW w:type="dxa" w:w="11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r>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MARINE*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MARINE</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GRP MARINE</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NULL</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STD</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JW</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PRIMARY</w:t>
            </w:r>
          </w:p>
        </w:tc>
        <w:tc>
          <w:tcPr>
            <w:tcW w:type="dxa" w:w="13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r>
    </w:tbl>
    <w:p>
      <w:pPr>
        <w:spacing w:before="80" w:after="80"/>
        <w:jc w:val="left"/>
      </w:pPr>
      <w:r>
        <w:rPr>
          <w:rFonts w:ascii="Arial" w:cs="Arial" w:eastAsia="Arial" w:hAnsi="Arial"/>
          <w:b w:val="false"/>
          <w:bCs w:val="false"/>
          <w:i/>
          <w:iCs/>
          <w:color w:val="000000"/>
          <w:sz w:val="22"/>
          <w:szCs w:val="22"/>
        </w:rPr>
        <w:t xml:space="preserve">* Implied books — book_name not yet confirmed from registration list data.</w:t>
      </w:r>
    </w:p>
    <w:p>
      <w:r>
        <w:br w:type="page"/>
      </w:r>
    </w:p>
    <w:p>
      <w:pPr>
        <w:pStyle w:val="Heading1"/>
        <w:spacing w:before="200" w:after="100"/>
      </w:pPr>
      <w:r>
        <w:t xml:space="preserve">17. Updated Data Gap List</w:t>
      </w:r>
    </w:p>
    <w:p>
      <w:pPr>
        <w:pStyle w:val="Heading2"/>
        <w:spacing w:before="200" w:after="100"/>
      </w:pPr>
      <w:r>
        <w:t xml:space="preserve">17.1 Priority 1 — BLOCKING (Before Schema DDL)</w:t>
      </w:r>
    </w:p>
    <w:p>
      <w:pPr>
        <w:shd w:fill="F8D7DA" w:val="clear"/>
        <w:spacing w:before="120" w:after="120"/>
        <w:ind w:left="200" w:right="200"/>
      </w:pPr>
      <w:r>
        <w:rPr>
          <w:rFonts w:ascii="Arial" w:cs="Arial" w:eastAsia="Arial" w:hAnsi="Arial"/>
          <w:b/>
          <w:bCs/>
          <w:sz w:val="22"/>
          <w:szCs w:val="22"/>
        </w:rPr>
        <w:t xml:space="preserve">⛔ These three gaps MUST be resolved before the schema can be locked</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4160"/>
      </w:tblGrid>
      <w:tr>
        <w:trPr>
          <w:tblHeader/>
        </w:trPr>
        <w:tc>
          <w:tcPr>
            <w:tcW w:type="dxa" w:w="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4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REGLIST with member identifiers (member_id, card_number, name, book, tier, APN)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BLOCKING</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Most critical. APN 45880.41 on 4 books makes this urgent.</w:t>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w:t>
            </w:r>
          </w:p>
        </w:tc>
        <w:tc>
          <w:tcPr>
            <w:tcW w:type="dxa" w:w="4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RAW DISPATCH DATA custom report</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BLOCKING</w:t>
            </w:r>
          </w:p>
        </w:tc>
        <w:tc>
          <w:tcPr>
            <w:tcW w:type="dxa" w:w="4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Dispatch transaction structure unknown</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3</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EMPLOYCONTRACT custom report</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BLOCKING</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Need contract dates to explain 196 duplicate employer entries</w:t>
            </w:r>
          </w:p>
        </w:tc>
      </w:tr>
    </w:tbl>
    <w:p>
      <w:pPr>
        <w:spacing w:before="40" w:after="40"/>
      </w:pPr>
    </w:p>
    <w:p>
      <w:pPr>
        <w:pStyle w:val="Heading2"/>
        <w:spacing w:before="200" w:after="100"/>
      </w:pPr>
      <w:r>
        <w:t xml:space="preserve">17.2 Priority 2 — IMPORTANT (Before Migration Scripts)</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4160"/>
      </w:tblGrid>
      <w:tr>
        <w:trPr>
          <w:tblHeader/>
        </w:trPr>
        <w:tc>
          <w:tcPr>
            <w:tcW w:type="dxa" w:w="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41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4</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Complete book catalog</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Partial</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 of ~11 books confirmed; 3 implied</w:t>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w:t>
            </w:r>
          </w:p>
        </w:tc>
        <w:tc>
          <w:tcPr>
            <w:tcW w:type="dxa" w:w="4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Book-to-contract mapping</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NEW GAP</w:t>
            </w:r>
          </w:p>
        </w:tc>
        <w:tc>
          <w:tcPr>
            <w:tcW w:type="dxa" w:w="4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TECHNICIAN/TRADESHOW/UTIL contract codes unknown</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6</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Sample member registration detail</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Needed</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Re-sign dates, check marks, exemptions</w:t>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7</w:t>
            </w:r>
          </w:p>
        </w:tc>
        <w:tc>
          <w:tcPr>
            <w:tcW w:type="dxa" w:w="4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Sample dispatch history</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Needed</w:t>
            </w:r>
          </w:p>
        </w:tc>
        <w:tc>
          <w:tcPr>
            <w:tcW w:type="dxa" w:w="4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Full lifecycle with timestamps</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8</w:t>
            </w:r>
          </w:p>
        </w:tc>
        <w:tc>
          <w:tcPr>
            <w:tcW w:type="dxa" w:w="4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TERO/PLA/CWA book catalog</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NEW GAP</w:t>
            </w:r>
          </w:p>
        </w:tc>
        <w:tc>
          <w:tcPr>
            <w:tcW w:type="dxa" w:w="41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How many compound books exist?</w:t>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w:t>
            </w:r>
          </w:p>
        </w:tc>
        <w:tc>
          <w:tcPr>
            <w:tcW w:type="dxa" w:w="40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Duplicate employer resolution</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NEW GAP</w:t>
            </w:r>
          </w:p>
        </w:tc>
        <w:tc>
          <w:tcPr>
            <w:tcW w:type="dxa" w:w="41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Are dupes = multiple contracts, locations, or data quality?</w:t>
            </w:r>
          </w:p>
        </w:tc>
      </w:tr>
    </w:tbl>
    <w:p>
      <w:pPr>
        <w:spacing w:before="40" w:after="40"/>
      </w:pPr>
    </w:p>
    <w:p>
      <w:pPr>
        <w:pStyle w:val="Heading2"/>
        <w:spacing w:before="200" w:after="100"/>
      </w:pPr>
      <w:r>
        <w:t xml:space="preserve">17.3 Priority 3 — CLARIFICATION (Before Business Logic)</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3660"/>
      </w:tblGrid>
      <w:tr>
        <w:trPr>
          <w:tblHeader/>
        </w:trPr>
        <w:tc>
          <w:tcPr>
            <w:tcW w:type="dxa" w:w="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36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90-day rule definition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Needed</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11</w:t>
            </w:r>
          </w:p>
        </w:tc>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"Too many days" threshold</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Needed</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12</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Total referral region count</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Needed</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13</w:t>
            </w:r>
          </w:p>
        </w:tc>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Book tier semantics (1/2/3/4)</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 Partial</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Travelers hypothesis strengthened</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14</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TRADESHOW dispatch rules</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NEW</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No employer contract — how compensated?</w:t>
            </w:r>
          </w:p>
        </w:tc>
      </w:tr>
      <w:tr>
        <w:tc>
          <w:tcPr>
            <w:tcW w:type="dxa" w:w="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15</w:t>
            </w:r>
          </w:p>
        </w:tc>
        <w:tc>
          <w:tcPr>
            <w:tcW w:type="dxa" w:w="4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Apprentice book rules</w:t>
            </w:r>
          </w:p>
        </w:tc>
        <w:tc>
          <w:tcPr>
            <w:tcW w:type="dxa" w:w="150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bCs/>
                <w:color w:val="CC0000"/>
                <w:sz w:val="20"/>
                <w:szCs w:val="20"/>
              </w:rPr>
              <w:t xml:space="preserve">NEW</w:t>
            </w:r>
          </w:p>
        </w:tc>
        <w:tc>
          <w:tcPr>
            <w:tcW w:type="dxa" w:w="3660"/>
            <w:tcBorders>
              <w:top w:val="single" w:color="B0BEC5" w:sz="1"/>
              <w:left w:val="single" w:color="B0BEC5" w:sz="1"/>
              <w:bottom w:val="single" w:color="B0BEC5" w:sz="1"/>
              <w:right w:val="single" w:color="B0BEC5" w:sz="1"/>
            </w:tcBorders>
            <w:shd w:fill="F5F7FA"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TERO APPR — standard apprentice books?</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16</w:t>
            </w:r>
          </w:p>
        </w:tc>
        <w:tc>
          <w:tcPr>
            <w:tcW w:type="dxa" w:w="4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RESIDENTIAL vs WIREPERSON</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C0000"/>
                <w:sz w:val="20"/>
                <w:szCs w:val="20"/>
              </w:rPr>
              <w:t xml:space="preserve">NEW</w:t>
            </w:r>
          </w:p>
        </w:tc>
        <w:tc>
          <w:tcPr>
            <w:tcW w:type="dxa" w:w="36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Different rates? Different procedures?</w:t>
            </w:r>
          </w:p>
        </w:tc>
      </w:tr>
    </w:tbl>
    <w:p>
      <w:r>
        <w:br w:type="page"/>
      </w:r>
    </w:p>
    <w:p>
      <w:pPr>
        <w:pStyle w:val="Heading1"/>
        <w:spacing w:before="200" w:after="100"/>
      </w:pPr>
      <w:r>
        <w:t xml:space="preserve">18. Recommended Next Steps</w:t>
      </w:r>
    </w:p>
    <w:p>
      <w:pPr>
        <w:pStyle w:val="Heading2"/>
        <w:spacing w:before="200" w:after="100"/>
      </w:pPr>
      <w:r>
        <w:t xml:space="preserve">18.1 Immediate (This Week)</w:t>
      </w:r>
    </w:p>
    <w:p>
      <w:pPr>
        <w:pStyle w:val="ListParagraph"/>
        <w:numPr>
          <w:ilvl w:val="0"/>
          <w:numId w:val="5"/>
        </w:numPr>
        <w:spacing w:before="40" w:after="40"/>
      </w:pPr>
      <w:r>
        <w:rPr>
          <w:rFonts w:ascii="Arial" w:cs="Arial" w:eastAsia="Arial" w:hAnsi="Arial"/>
          <w:b/>
          <w:bCs/>
          <w:sz w:val="22"/>
          <w:szCs w:val="22"/>
        </w:rPr>
        <w:t xml:space="preserve">Export REGLIST with member identifiers </w:t>
      </w:r>
      <w:r>
        <w:rPr>
          <w:rFonts w:ascii="Arial" w:cs="Arial" w:eastAsia="Arial" w:hAnsi="Arial"/>
          <w:sz w:val="22"/>
          <w:szCs w:val="22"/>
        </w:rPr>
        <w:t xml:space="preserve">— This is the single most important missing piece. Without it, we cannot confirm whether APN 45880.41 is one person or four, and we cannot build migration scripts.</w:t>
      </w:r>
    </w:p>
    <w:p>
      <w:pPr>
        <w:pStyle w:val="ListParagraph"/>
        <w:numPr>
          <w:ilvl w:val="0"/>
          <w:numId w:val="5"/>
        </w:numPr>
        <w:spacing w:before="40" w:after="40"/>
      </w:pPr>
      <w:r>
        <w:rPr>
          <w:rFonts w:ascii="Arial" w:cs="Arial" w:eastAsia="Arial" w:hAnsi="Arial"/>
          <w:b/>
          <w:bCs/>
          <w:sz w:val="22"/>
          <w:szCs w:val="22"/>
        </w:rPr>
        <w:t xml:space="preserve">Export RAW DISPATCH DATA </w:t>
      </w:r>
      <w:r>
        <w:rPr>
          <w:rFonts w:ascii="Arial" w:cs="Arial" w:eastAsia="Arial" w:hAnsi="Arial"/>
          <w:sz w:val="22"/>
          <w:szCs w:val="22"/>
        </w:rPr>
        <w:t xml:space="preserve">— Need dispatch transaction structure to finalize the dispatches table schema.</w:t>
      </w:r>
    </w:p>
    <w:p>
      <w:pPr>
        <w:pStyle w:val="ListParagraph"/>
        <w:numPr>
          <w:ilvl w:val="0"/>
          <w:numId w:val="5"/>
        </w:numPr>
        <w:spacing w:before="40" w:after="40"/>
      </w:pPr>
      <w:r>
        <w:rPr>
          <w:rFonts w:ascii="Arial" w:cs="Arial" w:eastAsia="Arial" w:hAnsi="Arial"/>
          <w:b/>
          <w:bCs/>
          <w:sz w:val="22"/>
          <w:szCs w:val="22"/>
        </w:rPr>
        <w:t xml:space="preserve">Export EMPLOYCONTRACT </w:t>
      </w:r>
      <w:r>
        <w:rPr>
          <w:rFonts w:ascii="Arial" w:cs="Arial" w:eastAsia="Arial" w:hAnsi="Arial"/>
          <w:sz w:val="22"/>
          <w:szCs w:val="22"/>
        </w:rPr>
        <w:t xml:space="preserve">— Need contract metadata to resolve 196 duplicate employer entries.</w:t>
      </w:r>
    </w:p>
    <w:p>
      <w:pPr>
        <w:pStyle w:val="Heading2"/>
        <w:spacing w:before="200" w:after="100"/>
      </w:pPr>
      <w:r>
        <w:t xml:space="preserve">18.2 After Priority 1 Gaps Resolved</w:t>
      </w:r>
    </w:p>
    <w:p>
      <w:pPr>
        <w:pStyle w:val="ListParagraph"/>
        <w:numPr>
          <w:ilvl w:val="0"/>
          <w:numId w:val="3"/>
        </w:numPr>
        <w:spacing w:before="40" w:after="40"/>
      </w:pPr>
      <w:r>
        <w:rPr>
          <w:rFonts w:ascii="Arial" w:cs="Arial" w:eastAsia="Arial" w:hAnsi="Arial"/>
          <w:sz w:val="22"/>
          <w:szCs w:val="22"/>
        </w:rPr>
        <w:t xml:space="preserve">Lock schema DDL with all corrections from Vol. 1 and Vol. 2</w:t>
      </w:r>
    </w:p>
    <w:p>
      <w:pPr>
        <w:pStyle w:val="ListParagraph"/>
        <w:numPr>
          <w:ilvl w:val="0"/>
          <w:numId w:val="3"/>
        </w:numPr>
        <w:spacing w:before="40" w:after="40"/>
      </w:pPr>
      <w:r>
        <w:rPr>
          <w:rFonts w:ascii="Arial" w:cs="Arial" w:eastAsia="Arial" w:hAnsi="Arial"/>
          <w:sz w:val="22"/>
          <w:szCs w:val="22"/>
        </w:rPr>
        <w:t xml:space="preserve">Build field-by-field migration mapping (LaborPower → UnionCore)</w:t>
      </w:r>
    </w:p>
    <w:p>
      <w:pPr>
        <w:pStyle w:val="ListParagraph"/>
        <w:numPr>
          <w:ilvl w:val="0"/>
          <w:numId w:val="3"/>
        </w:numPr>
        <w:spacing w:before="40" w:after="40"/>
      </w:pPr>
      <w:r>
        <w:rPr>
          <w:rFonts w:ascii="Arial" w:cs="Arial" w:eastAsia="Arial" w:hAnsi="Arial"/>
          <w:sz w:val="22"/>
          <w:szCs w:val="22"/>
        </w:rPr>
        <w:t xml:space="preserve">Create CSV import tooling (employers first, then registrations, then dispatch history)</w:t>
      </w:r>
    </w:p>
    <w:p>
      <w:pPr>
        <w:pStyle w:val="Heading2"/>
        <w:spacing w:before="200" w:after="100"/>
      </w:pPr>
      <w:r>
        <w:t xml:space="preserve">18.3 Parallel Work (Can Proceed Now)</w:t>
      </w:r>
    </w:p>
    <w:p>
      <w:pPr>
        <w:pStyle w:val="ListParagraph"/>
        <w:numPr>
          <w:ilvl w:val="0"/>
          <w:numId w:val="3"/>
        </w:numPr>
        <w:spacing w:before="40" w:after="40"/>
      </w:pPr>
      <w:r>
        <w:rPr>
          <w:rFonts w:ascii="Arial" w:cs="Arial" w:eastAsia="Arial" w:hAnsi="Arial"/>
          <w:sz w:val="22"/>
          <w:szCs w:val="22"/>
        </w:rPr>
        <w:t xml:space="preserve">Frontend Week 1 scaffolding (login, dashboard, staff list)</w:t>
      </w:r>
    </w:p>
    <w:p>
      <w:pPr>
        <w:pStyle w:val="ListParagraph"/>
        <w:numPr>
          <w:ilvl w:val="0"/>
          <w:numId w:val="3"/>
        </w:numPr>
        <w:spacing w:before="40" w:after="40"/>
      </w:pPr>
      <w:r>
        <w:rPr>
          <w:rFonts w:ascii="Arial" w:cs="Arial" w:eastAsia="Arial" w:hAnsi="Arial"/>
          <w:sz w:val="22"/>
          <w:szCs w:val="22"/>
        </w:rPr>
        <w:t xml:space="preserve">Demo environment setup (unioncore.ibew46.local on MacBook Pro M4)</w:t>
      </w:r>
    </w:p>
    <w:p>
      <w:pPr>
        <w:pStyle w:val="ListParagraph"/>
        <w:numPr>
          <w:ilvl w:val="0"/>
          <w:numId w:val="3"/>
        </w:numPr>
        <w:spacing w:before="40" w:after="40"/>
      </w:pPr>
      <w:r>
        <w:rPr>
          <w:rFonts w:ascii="Arial" w:cs="Arial" w:eastAsia="Arial" w:hAnsi="Arial"/>
          <w:sz w:val="22"/>
          <w:szCs w:val="22"/>
        </w:rPr>
        <w:t xml:space="preserve">Confirm tier semantics with dispatch staff (Book 3 = Travelers?)</w:t>
      </w:r>
    </w:p>
    <w:p>
      <w:pPr>
        <w:pStyle w:val="ListParagraph"/>
        <w:numPr>
          <w:ilvl w:val="0"/>
          <w:numId w:val="3"/>
        </w:numPr>
        <w:spacing w:before="40" w:after="40"/>
      </w:pPr>
      <w:r>
        <w:rPr>
          <w:rFonts w:ascii="Arial" w:cs="Arial" w:eastAsia="Arial" w:hAnsi="Arial"/>
          <w:sz w:val="22"/>
          <w:szCs w:val="22"/>
        </w:rPr>
        <w:t xml:space="preserve">Confirm TERO/PLA/CWA book catalog with dispatch staff</w:t>
      </w:r>
    </w:p>
    <w:p>
      <w:pPr>
        <w:pStyle w:val="ListParagraph"/>
        <w:numPr>
          <w:ilvl w:val="0"/>
          <w:numId w:val="3"/>
        </w:numPr>
        <w:spacing w:before="40" w:after="40"/>
      </w:pPr>
      <w:r>
        <w:rPr>
          <w:rFonts w:ascii="Arial" w:cs="Arial" w:eastAsia="Arial" w:hAnsi="Arial"/>
          <w:sz w:val="22"/>
          <w:szCs w:val="22"/>
        </w:rPr>
        <w:t xml:space="preserve">Confirm RESIDENTIAL dispatch rules with dispatch staff</w:t>
      </w:r>
    </w:p>
    <w:p>
      <w:pPr>
        <w:spacing w:before="40" w:after="40"/>
      </w:pPr>
    </w:p>
    <w:p>
      <w:pPr>
        <w:spacing w:before="40" w:after="40"/>
      </w:pPr>
    </w:p>
    <w:p>
      <w:pPr>
        <w:spacing w:before="80" w:after="80"/>
        <w:jc w:val="left"/>
      </w:pPr>
      <w:r>
        <w:rPr>
          <w:rFonts w:ascii="Arial" w:cs="Arial" w:eastAsia="Arial" w:hAnsi="Arial"/>
          <w:i/>
          <w:iCs/>
          <w:color w:val="6B7280"/>
          <w:sz w:val="20"/>
          <w:szCs w:val="20"/>
        </w:rPr>
        <w:t xml:space="preserve">Document generated: February 2, 2026</w:t>
      </w:r>
    </w:p>
    <w:p>
      <w:pPr>
        <w:spacing w:before="80" w:after="80"/>
        <w:jc w:val="left"/>
      </w:pPr>
      <w:r>
        <w:rPr>
          <w:rFonts w:ascii="Arial" w:cs="Arial" w:eastAsia="Arial" w:hAnsi="Arial"/>
          <w:i/>
          <w:iCs/>
          <w:color w:val="6B7280"/>
          <w:sz w:val="20"/>
          <w:szCs w:val="20"/>
        </w:rPr>
        <w:t xml:space="preserve">Analysis by: Claude (Opus 4.5) for Xerxes / IBEW Local 46 Business Representative</w:t>
      </w:r>
    </w:p>
    <w:p>
      <w:pPr>
        <w:spacing w:before="80" w:after="80"/>
        <w:jc w:val="left"/>
      </w:pPr>
      <w:r>
        <w:rPr>
          <w:rFonts w:ascii="Arial" w:cs="Arial" w:eastAsia="Arial" w:hAnsi="Arial"/>
          <w:i/>
          <w:iCs/>
          <w:color w:val="6B7280"/>
          <w:sz w:val="20"/>
          <w:szCs w:val="20"/>
        </w:rPr>
        <w:t xml:space="preserve">All findings should be verified with IBEW Local 46 dispatch staff before schema lock</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IBEW Local 46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UnionCore — LaborPower Data Analysis &amp; Schema Guidance — Vol.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6B9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2026-02-03T06:37:16.795Z</dcterms:created>
  <dcterms:modified xsi:type="dcterms:W3CDTF">2026-02-03T06:37:16.796Z</dcterms:modified>
</cp:coreProperties>
</file>

<file path=docProps/custom.xml><?xml version="1.0" encoding="utf-8"?>
<Properties xmlns="http://schemas.openxmlformats.org/officeDocument/2006/custom-properties" xmlns:vt="http://schemas.openxmlformats.org/officeDocument/2006/docPropsVTypes"/>
</file>