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aps/>
          <w:color w:val="595959"/>
          <w:sz w:val="18"/>
          <w:szCs w:val="18"/>
        </w:rPr>
        <w:t xml:space="preserve">PROJECT SUMMARY REPORT</w:t>
      </w:r>
    </w:p>
    <w:p>
      <w:pPr>
        <w:spacing w:after="200"/>
      </w:pPr>
      <w:r>
        <w:rPr>
          <w:b/>
          <w:bCs/>
          <w:color w:val="1A1A1A"/>
          <w:sz w:val="40"/>
          <w:szCs w:val="40"/>
        </w:rPr>
        <w:t xml:space="preserve">Ride Bookings Analysis (Riding Analysis)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theaditya24/Power-Bi-Projects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Riding Analysis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BI Desktop, Power Query, DAX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Mobility / Operations Analytics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Overview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An end-to-end Power BI dashboard analyzing 150,000 taxi/ride bookings across 2024, covering booking volume, revenue, vehicle-type performance, and cancellation patterns to uncover operational insights for a ride-hailing style business.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Objective / Business Problem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To answer four core business questions: how the business is performing overall, which vehicle types drive the most volume and revenue, why 38% of bookings never complete and who is responsible, and what data quality looks like across payments, ratings, and locations.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 modeling: </w:t>
      </w:r>
      <w:r>
        <w:rPr>
          <w:sz w:val="21"/>
          <w:szCs w:val="21"/>
        </w:rPr>
        <w:t xml:space="preserve">Built a dedicated _Measures table with DAX measures for volume, cancellations, revenue, distance/time, ratings, and customers, kept separate from the raw booking data for reuse across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Calculated columns: </w:t>
      </w:r>
      <w:r>
        <w:rPr>
          <w:sz w:val="21"/>
          <w:szCs w:val="21"/>
        </w:rPr>
        <w:t xml:space="preserve">Added a Booking Outcome column to bucket status into Completed/Not Completed and a Booking Hour column for peak-hour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Report design: </w:t>
      </w:r>
      <w:r>
        <w:rPr>
          <w:sz w:val="21"/>
          <w:szCs w:val="21"/>
        </w:rPr>
        <w:t xml:space="preserve">Built a four-page report (Home, Overview, Vehicle Type Analysis, Cancellations &amp; Failed Rides) with a custom dark luxury/fintech theme, KPI cards, trend lines, donut and bar charts, a performance matrix table, and a scatter plot.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Custom theming: </w:t>
      </w:r>
      <w:r>
        <w:rPr>
          <w:sz w:val="21"/>
          <w:szCs w:val="21"/>
        </w:rPr>
        <w:t xml:space="preserve">Created a reusable Power BI theme file (Taxi_Ride_Analysis_Premium_Dark.json) applied consistently across all pages.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Tools &amp;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BI Desktop (data modeling, DAX, report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Query (data cleaning &amp; transformation)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DAX (custom measures for KPIs and rates)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Key Insights /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Only 62% of bookings complete: </w:t>
      </w:r>
      <w:r>
        <w:rPr>
          <w:sz w:val="21"/>
          <w:szCs w:val="21"/>
        </w:rPr>
        <w:t xml:space="preserve">the remaining 38% fail across four cancellation/incomplete categories, fairly flat month over month with no strong seasonality.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Auto dominates: </w:t>
      </w:r>
      <w:r>
        <w:rPr>
          <w:sz w:val="21"/>
          <w:szCs w:val="21"/>
        </w:rPr>
        <w:t xml:space="preserve">the Auto vehicle type leads both volume (37K bookings) and revenue (Rs. 1.29 Cr) among 7 vehicle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Vehicle type isn't the cause of failure: </w:t>
      </w:r>
      <w:r>
        <w:rPr>
          <w:sz w:val="21"/>
          <w:szCs w:val="21"/>
        </w:rPr>
        <w:t xml:space="preserve">completion rate is nearly identical (61.4%-62.6%) across all vehicle types, so failures stem from factors other than vehicle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 dominant cancellation cause: </w:t>
      </w:r>
      <w:r>
        <w:rPr>
          <w:sz w:val="21"/>
          <w:szCs w:val="21"/>
        </w:rPr>
        <w:t xml:space="preserve">driver-side cancellations (18% of bookings) split almost evenly across four reasons, while customer cancellations are led by wrong address and change of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Dataset totals: 150,000 bookings, Jan-Dec 2024, 62.0% completion rate, Rs. 5.18 Cr total revenue, Rs. 508 average booking value, across 7 vehicle types and 5 payment methods.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Outcome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report gives operations stakeholders a clear view of where booking volume and revenue concentrate, confirms that ride failures are not tied to a single vehicle type, and pinpoints the scattered root causes behind the 38% failure rate for further investigation.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2026-08-22T12:28:05.987Z</dcterms:created>
  <dcterms:modified xsi:type="dcterms:W3CDTF">2026-08-22T12:28:05.987Z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