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B57"/>
          <w:sz w:val="46"/>
          <w:szCs w:val="46"/>
        </w:rPr>
        <w:t xml:space="preserve">CUSTOMER SHOPPING BEHAVIOUR ANALYSIS</w:t>
      </w:r>
    </w:p>
    <w:p>
      <w:pPr>
        <w:spacing w:after="100" w:before="200"/>
        <w:jc w:val="center"/>
      </w:pPr>
      <w:r>
        <w:rPr>
          <w:i/>
          <w:iCs/>
          <w:color w:val="2E8B8B"/>
          <w:sz w:val="28"/>
          <w:szCs w:val="28"/>
        </w:rPr>
        <w:t xml:space="preserve">End-to-End Data Analytics Project Report</w:t>
      </w:r>
    </w:p>
    <w:p>
      <w:pPr>
        <w:spacing w:before="40"/>
        <w:jc w:val="center"/>
      </w:pPr>
      <w:r>
        <w:rPr>
          <w:color w:val="595959"/>
          <w:sz w:val="22"/>
          <w:szCs w:val="22"/>
        </w:rPr>
        <w:t xml:space="preserve">Python  •  SQL  •  Power BI</w:t>
      </w:r>
    </w:p>
    <w:p>
      <w:pPr>
        <w:spacing w:before="1400"/>
      </w:pPr>
    </w:p>
    <w:p>
      <w:pPr>
        <w:jc w:val="center"/>
      </w:pPr>
      <w:r>
        <w:rPr>
          <w:color w:val="222222"/>
          <w:sz w:val="22"/>
          <w:szCs w:val="22"/>
        </w:rPr>
        <w:t xml:space="preserve">Prepared by: Aditya</w:t>
      </w:r>
    </w:p>
    <w:p>
      <w:pPr>
        <w:spacing w:before="60"/>
        <w:jc w:val="center"/>
      </w:pPr>
      <w:r>
        <w:rPr>
          <w:color w:val="595959"/>
          <w:sz w:val="20"/>
          <w:szCs w:val="20"/>
        </w:rPr>
        <w:t xml:space="preserve">Repository: github.com/theaditya24/customer-trends-data-analysis-SQL-Python-PowerBI</w:t>
      </w:r>
    </w:p>
    <w:p>
      <w:pPr>
        <w:spacing w:before="60"/>
        <w:jc w:val="center"/>
      </w:pPr>
      <w:r>
        <w:rPr>
          <w:color w:val="595959"/>
          <w:sz w:val="20"/>
          <w:szCs w:val="20"/>
        </w:rPr>
        <w:t xml:space="preserve">July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3B57" w:sz="8" w:space="4"/>
        </w:pBdr>
        <w:spacing w:after="160" w:before="360"/>
      </w:pPr>
      <w:r>
        <w:rPr>
          <w:b/>
          <w:bCs/>
          <w:color w:val="1F3B57"/>
          <w:sz w:val="30"/>
          <w:szCs w:val="30"/>
        </w:rPr>
        <w:t xml:space="preserve">Executive Summary</w:t>
      </w:r>
    </w:p>
    <w:p>
      <w:pPr>
        <w:spacing w:after="160" w:line="276"/>
      </w:pPr>
      <w:r>
        <w:rPr>
          <w:color w:val="222222"/>
          <w:sz w:val="22"/>
          <w:szCs w:val="22"/>
        </w:rPr>
        <w:t xml:space="preserve">A leading retail company wanted to understand how demographics, product categories, discounts, and sales channels shape its customers' shopping behavior, with the goal of improving sales, satisfaction, and long-term loyalty. This project analyzes a 3,900-customer transaction dataset end-to-end — cleaning and engineering the data in Python, structuring and querying it in SQL to surface segment, loyalty, and purchase-driver insights, and visualizing the results in an interactive Power BI dashboard.</w:t>
      </w:r>
    </w:p>
    <w:p>
      <w:pPr>
        <w:spacing w:after="160" w:line="276"/>
      </w:pPr>
      <w:r>
        <w:rPr>
          <w:color w:val="222222"/>
          <w:sz w:val="22"/>
          <w:szCs w:val="22"/>
        </w:rPr>
        <w:t xml:space="preserve">The business generated $233,081 in total revenue across 3,900 transactions, at an average basket of $59.76 and an average customer satisfaction score of 3.75 out of 5. The single clearest finding of the analysis is that per-customer spending and satisfaction are remarkably consistent across age, gender, subscription status, and payment method — revenue differences between segments are driven almost entirely by how many customers sit in each segment, not by how much any individual customer spends. Clothing and Accessories together account for 76% of revenue, and a large loyal core (39.7% of customers with 30+ prior purchases) anchors repeat business. Full findings and recommendations are detailed in Sections 5 and 6.</w:t>
      </w:r>
    </w:p>
    <w:p>
      <w:pPr>
        <w:pStyle w:val="Heading1"/>
        <w:pBdr>
          <w:bottom w:val="single" w:color="1F3B57" w:sz="8" w:space="4"/>
        </w:pBdr>
        <w:spacing w:after="160" w:before="360"/>
      </w:pPr>
      <w:r>
        <w:rPr>
          <w:b/>
          <w:bCs/>
          <w:color w:val="1F3B57"/>
          <w:sz w:val="30"/>
          <w:szCs w:val="30"/>
        </w:rPr>
        <w:t xml:space="preserve">1. Business Problem Statement</w:t>
      </w:r>
    </w:p>
    <w:p>
      <w:pPr>
        <w:spacing w:after="160" w:line="276"/>
      </w:pPr>
      <w:r>
        <w:rPr>
          <w:color w:val="222222"/>
          <w:sz w:val="22"/>
          <w:szCs w:val="22"/>
        </w:rPr>
        <w:t xml:space="preserve">Management had observed shifts in purchasing patterns across demographics, product categories, and sales channels, and wanted to know which factors — discounts, reviews, seasonality, or payment preferences — actually drive consumer decisions and repeat purchases. This translates into one overarching business question:</w:t>
      </w:r>
    </w:p>
    <w:p>
      <w:pPr>
        <w:pBdr>
          <w:left w:val="single" w:color="D6A24B" w:sz="18" w:space="8"/>
        </w:pBdr>
        <w:spacing w:after="220" w:before="120"/>
        <w:ind w:left="500"/>
      </w:pPr>
      <w:r>
        <w:rPr>
          <w:i/>
          <w:iCs/>
          <w:color w:val="1F3B57"/>
          <w:sz w:val="22"/>
          <w:szCs w:val="22"/>
        </w:rPr>
        <w:t xml:space="preserve">“How can the company leverage consumer shopping data to identify trends, improve customer engagement, and optimize marketing and product strategies?”</w:t>
      </w:r>
    </w:p>
    <w:p>
      <w:pPr>
        <w:spacing w:after="160" w:line="276"/>
      </w:pPr>
      <w:r>
        <w:rPr>
          <w:color w:val="222222"/>
          <w:sz w:val="22"/>
          <w:szCs w:val="22"/>
        </w:rPr>
        <w:t xml:space="preserve">The project was scoped around five deliverables:</w:t>
      </w:r>
    </w:p>
    <w:p>
      <w:pPr>
        <w:pStyle w:val="ListParagraph"/>
        <w:numPr>
          <w:ilvl w:val="0"/>
          <w:numId w:val="1"/>
        </w:numPr>
        <w:spacing w:after="90"/>
      </w:pPr>
      <w:r>
        <w:rPr>
          <w:b/>
          <w:bCs/>
          <w:color w:val="1F3B57"/>
          <w:sz w:val="22"/>
          <w:szCs w:val="22"/>
        </w:rPr>
        <w:t xml:space="preserve">Data Preparation &amp; Modeling (Python): </w:t>
      </w:r>
      <w:r>
        <w:rPr>
          <w:color w:val="222222"/>
          <w:sz w:val="22"/>
          <w:szCs w:val="22"/>
        </w:rPr>
        <w:t xml:space="preserve">clean and transform the raw dataset for analysis.</w:t>
      </w:r>
    </w:p>
    <w:p>
      <w:pPr>
        <w:pStyle w:val="ListParagraph"/>
        <w:numPr>
          <w:ilvl w:val="0"/>
          <w:numId w:val="1"/>
        </w:numPr>
        <w:spacing w:after="90"/>
      </w:pPr>
      <w:r>
        <w:rPr>
          <w:b/>
          <w:bCs/>
          <w:color w:val="1F3B57"/>
          <w:sz w:val="22"/>
          <w:szCs w:val="22"/>
        </w:rPr>
        <w:t xml:space="preserve">Data Analysis (SQL): </w:t>
      </w:r>
      <w:r>
        <w:rPr>
          <w:color w:val="222222"/>
          <w:sz w:val="22"/>
          <w:szCs w:val="22"/>
        </w:rPr>
        <w:t xml:space="preserve">structure the data and run queries to extract insights on customer segments, loyalty, and purchase drivers.</w:t>
      </w:r>
    </w:p>
    <w:p>
      <w:pPr>
        <w:pStyle w:val="ListParagraph"/>
        <w:numPr>
          <w:ilvl w:val="0"/>
          <w:numId w:val="1"/>
        </w:numPr>
        <w:spacing w:after="90"/>
      </w:pPr>
      <w:r>
        <w:rPr>
          <w:b/>
          <w:bCs/>
          <w:color w:val="1F3B57"/>
          <w:sz w:val="22"/>
          <w:szCs w:val="22"/>
        </w:rPr>
        <w:t xml:space="preserve">Visualization &amp; Insights (Power BI): </w:t>
      </w:r>
      <w:r>
        <w:rPr>
          <w:color w:val="222222"/>
          <w:sz w:val="22"/>
          <w:szCs w:val="22"/>
        </w:rPr>
        <w:t xml:space="preserve">build an interactive dashboard highlighting key patterns and trends.</w:t>
      </w:r>
    </w:p>
    <w:p>
      <w:pPr>
        <w:pStyle w:val="ListParagraph"/>
        <w:numPr>
          <w:ilvl w:val="0"/>
          <w:numId w:val="1"/>
        </w:numPr>
        <w:spacing w:after="90"/>
      </w:pPr>
      <w:r>
        <w:rPr>
          <w:b/>
          <w:bCs/>
          <w:color w:val="1F3B57"/>
          <w:sz w:val="22"/>
          <w:szCs w:val="22"/>
        </w:rPr>
        <w:t xml:space="preserve">Report &amp; Presentation: </w:t>
      </w:r>
      <w:r>
        <w:rPr>
          <w:color w:val="222222"/>
          <w:sz w:val="22"/>
          <w:szCs w:val="22"/>
        </w:rPr>
        <w:t xml:space="preserve">summarize findings and business recommendations for stakeholders (this document).</w:t>
      </w:r>
    </w:p>
    <w:p>
      <w:pPr>
        <w:pStyle w:val="ListParagraph"/>
        <w:numPr>
          <w:ilvl w:val="0"/>
          <w:numId w:val="1"/>
        </w:numPr>
        <w:spacing w:after="90"/>
      </w:pPr>
      <w:r>
        <w:rPr>
          <w:b/>
          <w:bCs/>
          <w:color w:val="1F3B57"/>
          <w:sz w:val="22"/>
          <w:szCs w:val="22"/>
        </w:rPr>
        <w:t xml:space="preserve">GitHub Repository: </w:t>
      </w:r>
      <w:r>
        <w:rPr>
          <w:color w:val="222222"/>
          <w:sz w:val="22"/>
          <w:szCs w:val="22"/>
        </w:rPr>
        <w:t xml:space="preserve">house all Python scripts, SQL logic, and dashboard files in a well-structured repo.</w:t>
      </w:r>
    </w:p>
    <w:p>
      <w:pPr>
        <w:pStyle w:val="Heading1"/>
        <w:pBdr>
          <w:bottom w:val="single" w:color="1F3B57" w:sz="8" w:space="4"/>
        </w:pBdr>
        <w:spacing w:after="160" w:before="360"/>
      </w:pPr>
      <w:r>
        <w:rPr>
          <w:b/>
          <w:bCs/>
          <w:color w:val="1F3B57"/>
          <w:sz w:val="30"/>
          <w:szCs w:val="30"/>
        </w:rPr>
        <w:t xml:space="preserve">2. Data Preparation (Python)</w:t>
      </w:r>
    </w:p>
    <w:p>
      <w:pPr>
        <w:spacing w:after="160" w:line="276"/>
      </w:pPr>
      <w:r>
        <w:rPr>
          <w:color w:val="222222"/>
          <w:sz w:val="22"/>
          <w:szCs w:val="22"/>
        </w:rPr>
        <w:t xml:space="preserve">The raw dataset contains 3,900 customer transactions across 18 fields, covering demographics (age, gender, location), product details (category, item, size, color, season), transaction details (purchase amount, discount/promo usage, payment method, shipping type), and engagement signals (review rating, subscription status, previous purchases, purchase frequency).</w:t>
      </w:r>
    </w:p>
    <w:p>
      <w:pPr>
        <w:pStyle w:val="Heading2"/>
        <w:spacing w:after="120" w:before="280"/>
      </w:pPr>
      <w:r>
        <w:rPr>
          <w:b/>
          <w:bCs/>
          <w:color w:val="2E8B8B"/>
          <w:sz w:val="24"/>
          <w:szCs w:val="24"/>
        </w:rPr>
        <w:t xml:space="preserve">2.1 Cleaning Steps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300"/>
      </w:tblGrid>
      <w:tr>
        <w:trPr>
          <w:tblHeader/>
        </w:trPr>
        <w:tc>
          <w:tcPr>
            <w:tcW w:type="dxa" w:w="2300"/>
            <w:shd w:fill="1F3B57" w:val="clear"/>
            <w:tcMar>
              <w:top w:type="dxa" w:w="80"/>
              <w:left w:type="dxa" w:w="100"/>
              <w:bottom w:type="dxa" w:w="80"/>
              <w:right w:type="dxa" w:w="100"/>
            </w:tcMar>
            <w:vAlign w:val="center"/>
          </w:tcPr>
          <w:p>
            <w:pPr>
              <w:jc w:val="left"/>
            </w:pPr>
            <w:r>
              <w:rPr>
                <w:b/>
                <w:bCs/>
                <w:color w:val="FFFFFF"/>
                <w:sz w:val="19"/>
                <w:szCs w:val="19"/>
              </w:rPr>
              <w:t xml:space="preserve">Step</w:t>
            </w:r>
          </w:p>
        </w:tc>
        <w:tc>
          <w:tcPr>
            <w:tcW w:type="dxa" w:w="3900"/>
            <w:shd w:fill="1F3B57" w:val="clear"/>
            <w:tcMar>
              <w:top w:type="dxa" w:w="80"/>
              <w:left w:type="dxa" w:w="100"/>
              <w:bottom w:type="dxa" w:w="80"/>
              <w:right w:type="dxa" w:w="100"/>
            </w:tcMar>
            <w:vAlign w:val="center"/>
          </w:tcPr>
          <w:p>
            <w:pPr>
              <w:jc w:val="left"/>
            </w:pPr>
            <w:r>
              <w:rPr>
                <w:b/>
                <w:bCs/>
                <w:color w:val="FFFFFF"/>
                <w:sz w:val="19"/>
                <w:szCs w:val="19"/>
              </w:rPr>
              <w:t xml:space="preserve">Action Taken</w:t>
            </w:r>
          </w:p>
        </w:tc>
        <w:tc>
          <w:tcPr>
            <w:tcW w:type="dxa" w:w="3300"/>
            <w:shd w:fill="1F3B57" w:val="clear"/>
            <w:tcMar>
              <w:top w:type="dxa" w:w="80"/>
              <w:left w:type="dxa" w:w="100"/>
              <w:bottom w:type="dxa" w:w="80"/>
              <w:right w:type="dxa" w:w="100"/>
            </w:tcMar>
            <w:vAlign w:val="center"/>
          </w:tcPr>
          <w:p>
            <w:pPr>
              <w:jc w:val="left"/>
            </w:pPr>
            <w:r>
              <w:rPr>
                <w:b/>
                <w:bCs/>
                <w:color w:val="FFFFFF"/>
                <w:sz w:val="19"/>
                <w:szCs w:val="19"/>
              </w:rPr>
              <w:t xml:space="preserve">Rationale</w:t>
            </w:r>
          </w:p>
        </w:tc>
      </w:tr>
      <w:tr>
        <w:tc>
          <w:tcPr>
            <w:tcW w:type="dxa" w:w="2300"/>
            <w:tcMar>
              <w:top w:type="dxa" w:w="70"/>
              <w:left w:type="dxa" w:w="100"/>
              <w:bottom w:type="dxa" w:w="70"/>
              <w:right w:type="dxa" w:w="100"/>
            </w:tcMar>
            <w:vAlign w:val="center"/>
          </w:tcPr>
          <w:p>
            <w:pPr>
              <w:jc w:val="left"/>
            </w:pPr>
            <w:r>
              <w:rPr>
                <w:b w:val="false"/>
                <w:bCs w:val="false"/>
                <w:color w:val="222222"/>
                <w:sz w:val="20"/>
                <w:szCs w:val="20"/>
              </w:rPr>
              <w:t xml:space="preserve">Missing values</w:t>
            </w:r>
          </w:p>
        </w:tc>
        <w:tc>
          <w:tcPr>
            <w:tcW w:type="dxa" w:w="3900"/>
            <w:tcMar>
              <w:top w:type="dxa" w:w="70"/>
              <w:left w:type="dxa" w:w="100"/>
              <w:bottom w:type="dxa" w:w="70"/>
              <w:right w:type="dxa" w:w="100"/>
            </w:tcMar>
            <w:vAlign w:val="center"/>
          </w:tcPr>
          <w:p>
            <w:pPr>
              <w:jc w:val="center"/>
            </w:pPr>
            <w:r>
              <w:rPr>
                <w:b w:val="false"/>
                <w:bCs w:val="false"/>
                <w:color w:val="222222"/>
                <w:sz w:val="20"/>
                <w:szCs w:val="20"/>
              </w:rPr>
              <w:t xml:space="preserve">37 missing Review Rating values imputed with the category-level median</w:t>
            </w:r>
          </w:p>
        </w:tc>
        <w:tc>
          <w:tcPr>
            <w:tcW w:type="dxa" w:w="3300"/>
            <w:tcMar>
              <w:top w:type="dxa" w:w="70"/>
              <w:left w:type="dxa" w:w="100"/>
              <w:bottom w:type="dxa" w:w="70"/>
              <w:right w:type="dxa" w:w="100"/>
            </w:tcMar>
            <w:vAlign w:val="center"/>
          </w:tcPr>
          <w:p>
            <w:pPr>
              <w:jc w:val="center"/>
            </w:pPr>
            <w:r>
              <w:rPr>
                <w:b w:val="false"/>
                <w:bCs w:val="false"/>
                <w:color w:val="222222"/>
                <w:sz w:val="20"/>
                <w:szCs w:val="20"/>
              </w:rPr>
              <w:t xml:space="preserve">Median is resistant to outliers and preserves the rating distribution better than a global mean</w:t>
            </w:r>
          </w:p>
        </w:tc>
      </w:tr>
      <w:tr>
        <w:tc>
          <w:tcPr>
            <w:tcW w:type="dxa" w:w="2300"/>
            <w:shd w:fill="F2F2F2" w:val="clear"/>
            <w:tcMar>
              <w:top w:type="dxa" w:w="70"/>
              <w:left w:type="dxa" w:w="100"/>
              <w:bottom w:type="dxa" w:w="70"/>
              <w:right w:type="dxa" w:w="100"/>
            </w:tcMar>
            <w:vAlign w:val="center"/>
          </w:tcPr>
          <w:p>
            <w:pPr>
              <w:jc w:val="left"/>
            </w:pPr>
            <w:r>
              <w:rPr>
                <w:b w:val="false"/>
                <w:bCs w:val="false"/>
                <w:color w:val="222222"/>
                <w:sz w:val="20"/>
                <w:szCs w:val="20"/>
              </w:rPr>
              <w:t xml:space="preserve">Column names</w:t>
            </w:r>
          </w:p>
        </w:tc>
        <w:tc>
          <w:tcPr>
            <w:tcW w:type="dxa" w:w="39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Standardized to lower_snake_case (e.g. “Purchase Amount (USD)” → purchase_amount)</w:t>
            </w:r>
          </w:p>
        </w:tc>
        <w:tc>
          <w:tcPr>
            <w:tcW w:type="dxa" w:w="33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Removes spaces/special characters for reliable, readable access in code and SQL</w:t>
            </w:r>
          </w:p>
        </w:tc>
      </w:tr>
      <w:tr>
        <w:tc>
          <w:tcPr>
            <w:tcW w:type="dxa" w:w="2300"/>
            <w:tcMar>
              <w:top w:type="dxa" w:w="70"/>
              <w:left w:type="dxa" w:w="100"/>
              <w:bottom w:type="dxa" w:w="70"/>
              <w:right w:type="dxa" w:w="100"/>
            </w:tcMar>
            <w:vAlign w:val="center"/>
          </w:tcPr>
          <w:p>
            <w:pPr>
              <w:jc w:val="left"/>
            </w:pPr>
            <w:r>
              <w:rPr>
                <w:b w:val="false"/>
                <w:bCs w:val="false"/>
                <w:color w:val="222222"/>
                <w:sz w:val="20"/>
                <w:szCs w:val="20"/>
              </w:rPr>
              <w:t xml:space="preserve">Redundant column</w:t>
            </w:r>
          </w:p>
        </w:tc>
        <w:tc>
          <w:tcPr>
            <w:tcW w:type="dxa" w:w="3900"/>
            <w:tcMar>
              <w:top w:type="dxa" w:w="70"/>
              <w:left w:type="dxa" w:w="100"/>
              <w:bottom w:type="dxa" w:w="70"/>
              <w:right w:type="dxa" w:w="100"/>
            </w:tcMar>
            <w:vAlign w:val="center"/>
          </w:tcPr>
          <w:p>
            <w:pPr>
              <w:jc w:val="center"/>
            </w:pPr>
            <w:r>
              <w:rPr>
                <w:b w:val="false"/>
                <w:bCs w:val="false"/>
                <w:color w:val="222222"/>
                <w:sz w:val="20"/>
                <w:szCs w:val="20"/>
              </w:rPr>
              <w:t xml:space="preserve">Dropped promo_code_used after confirming it was identical to discount_applied in every row</w:t>
            </w:r>
          </w:p>
        </w:tc>
        <w:tc>
          <w:tcPr>
            <w:tcW w:type="dxa" w:w="3300"/>
            <w:tcMar>
              <w:top w:type="dxa" w:w="70"/>
              <w:left w:type="dxa" w:w="100"/>
              <w:bottom w:type="dxa" w:w="70"/>
              <w:right w:type="dxa" w:w="100"/>
            </w:tcMar>
            <w:vAlign w:val="center"/>
          </w:tcPr>
          <w:p>
            <w:pPr>
              <w:jc w:val="center"/>
            </w:pPr>
            <w:r>
              <w:rPr>
                <w:b w:val="false"/>
                <w:bCs w:val="false"/>
                <w:color w:val="222222"/>
                <w:sz w:val="20"/>
                <w:szCs w:val="20"/>
              </w:rPr>
              <w:t xml:space="preserve">Avoids duplicate signal / multicollinearity in downstream analysis</w:t>
            </w:r>
          </w:p>
        </w:tc>
      </w:tr>
    </w:tbl>
    <w:p>
      <w:pPr>
        <w:pStyle w:val="Heading2"/>
        <w:spacing w:after="120" w:before="280"/>
      </w:pPr>
      <w:r>
        <w:rPr>
          <w:b/>
          <w:bCs/>
          <w:color w:val="2E8B8B"/>
          <w:sz w:val="24"/>
          <w:szCs w:val="24"/>
        </w:rPr>
        <w:t xml:space="preserve">2.2 Feature Engineering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600"/>
      </w:tblGrid>
      <w:tr>
        <w:trPr>
          <w:tblHeader/>
        </w:trPr>
        <w:tc>
          <w:tcPr>
            <w:tcW w:type="dxa" w:w="2300"/>
            <w:shd w:fill="1F3B57" w:val="clear"/>
            <w:tcMar>
              <w:top w:type="dxa" w:w="80"/>
              <w:left w:type="dxa" w:w="100"/>
              <w:bottom w:type="dxa" w:w="80"/>
              <w:right w:type="dxa" w:w="100"/>
            </w:tcMar>
            <w:vAlign w:val="center"/>
          </w:tcPr>
          <w:p>
            <w:pPr>
              <w:jc w:val="left"/>
            </w:pPr>
            <w:r>
              <w:rPr>
                <w:b/>
                <w:bCs/>
                <w:color w:val="FFFFFF"/>
                <w:sz w:val="19"/>
                <w:szCs w:val="19"/>
              </w:rPr>
              <w:t xml:space="preserve">New Feature</w:t>
            </w:r>
          </w:p>
        </w:tc>
        <w:tc>
          <w:tcPr>
            <w:tcW w:type="dxa" w:w="4600"/>
            <w:shd w:fill="1F3B57" w:val="clear"/>
            <w:tcMar>
              <w:top w:type="dxa" w:w="80"/>
              <w:left w:type="dxa" w:w="100"/>
              <w:bottom w:type="dxa" w:w="80"/>
              <w:right w:type="dxa" w:w="100"/>
            </w:tcMar>
            <w:vAlign w:val="center"/>
          </w:tcPr>
          <w:p>
            <w:pPr>
              <w:jc w:val="left"/>
            </w:pPr>
            <w:r>
              <w:rPr>
                <w:b/>
                <w:bCs/>
                <w:color w:val="FFFFFF"/>
                <w:sz w:val="19"/>
                <w:szCs w:val="19"/>
              </w:rPr>
              <w:t xml:space="preserve">Logic</w:t>
            </w:r>
          </w:p>
        </w:tc>
        <w:tc>
          <w:tcPr>
            <w:tcW w:type="dxa" w:w="2600"/>
            <w:shd w:fill="1F3B57"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300"/>
            <w:tcMar>
              <w:top w:type="dxa" w:w="70"/>
              <w:left w:type="dxa" w:w="100"/>
              <w:bottom w:type="dxa" w:w="70"/>
              <w:right w:type="dxa" w:w="100"/>
            </w:tcMar>
            <w:vAlign w:val="center"/>
          </w:tcPr>
          <w:p>
            <w:pPr>
              <w:jc w:val="left"/>
            </w:pPr>
            <w:r>
              <w:rPr>
                <w:b w:val="false"/>
                <w:bCs w:val="false"/>
                <w:color w:val="222222"/>
                <w:sz w:val="20"/>
                <w:szCs w:val="20"/>
              </w:rPr>
              <w:t xml:space="preserve">age_group</w:t>
            </w:r>
          </w:p>
        </w:tc>
        <w:tc>
          <w:tcPr>
            <w:tcW w:type="dxa" w:w="4600"/>
            <w:tcMar>
              <w:top w:type="dxa" w:w="70"/>
              <w:left w:type="dxa" w:w="100"/>
              <w:bottom w:type="dxa" w:w="70"/>
              <w:right w:type="dxa" w:w="100"/>
            </w:tcMar>
            <w:vAlign w:val="center"/>
          </w:tcPr>
          <w:p>
            <w:pPr>
              <w:jc w:val="center"/>
            </w:pPr>
            <w:r>
              <w:rPr>
                <w:b w:val="false"/>
                <w:bCs w:val="false"/>
                <w:color w:val="222222"/>
                <w:sz w:val="20"/>
                <w:szCs w:val="20"/>
              </w:rPr>
              <w:t xml:space="preserve">Binned age into Young Adult (≤25), Adult (26–40), Middle-Aged (41–60), Senior (61+)</w:t>
            </w:r>
          </w:p>
        </w:tc>
        <w:tc>
          <w:tcPr>
            <w:tcW w:type="dxa" w:w="2600"/>
            <w:tcMar>
              <w:top w:type="dxa" w:w="70"/>
              <w:left w:type="dxa" w:w="100"/>
              <w:bottom w:type="dxa" w:w="70"/>
              <w:right w:type="dxa" w:w="100"/>
            </w:tcMar>
            <w:vAlign w:val="center"/>
          </w:tcPr>
          <w:p>
            <w:pPr>
              <w:jc w:val="center"/>
            </w:pPr>
            <w:r>
              <w:rPr>
                <w:b w:val="false"/>
                <w:bCs w:val="false"/>
                <w:color w:val="222222"/>
                <w:sz w:val="20"/>
                <w:szCs w:val="20"/>
              </w:rPr>
              <w:t xml:space="preserve">Enables demographic segmentation and matches the Power BI dashboard's age-group visuals</w:t>
            </w:r>
          </w:p>
        </w:tc>
      </w:tr>
      <w:tr>
        <w:tc>
          <w:tcPr>
            <w:tcW w:type="dxa" w:w="2300"/>
            <w:shd w:fill="F2F2F2" w:val="clear"/>
            <w:tcMar>
              <w:top w:type="dxa" w:w="70"/>
              <w:left w:type="dxa" w:w="100"/>
              <w:bottom w:type="dxa" w:w="70"/>
              <w:right w:type="dxa" w:w="100"/>
            </w:tcMar>
            <w:vAlign w:val="center"/>
          </w:tcPr>
          <w:p>
            <w:pPr>
              <w:jc w:val="left"/>
            </w:pPr>
            <w:r>
              <w:rPr>
                <w:b w:val="false"/>
                <w:bCs w:val="false"/>
                <w:color w:val="222222"/>
                <w:sz w:val="20"/>
                <w:szCs w:val="20"/>
              </w:rPr>
              <w:t xml:space="preserve">purchase_frequency_days</w:t>
            </w:r>
          </w:p>
        </w:tc>
        <w:tc>
          <w:tcPr>
            <w:tcW w:type="dxa" w:w="46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Mapped text frequency (e.g. “Weekly”, “Monthly”) to a numeric day interval</w:t>
            </w:r>
          </w:p>
        </w:tc>
        <w:tc>
          <w:tcPr>
            <w:tcW w:type="dxa" w:w="26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Converts a categorical cadence into a numeric field usable for loyalty/recency-style analysis</w:t>
            </w:r>
          </w:p>
        </w:tc>
      </w:tr>
    </w:tbl>
    <w:p>
      <w:pPr>
        <w:spacing w:after="160" w:line="276"/>
      </w:pPr>
      <w:r>
        <w:rPr>
          <w:i/>
          <w:iCs/>
          <w:color w:val="595959"/>
          <w:sz w:val="20"/>
          <w:szCs w:val="20"/>
        </w:rPr>
        <w:t xml:space="preserve">After cleaning, the working dataset has 3,900 rows and 19 columns and was loaded into a SQL database (customers table) for structured querying.</w:t>
      </w:r>
    </w:p>
    <w:p>
      <w:pPr>
        <w:pStyle w:val="Heading1"/>
        <w:pBdr>
          <w:bottom w:val="single" w:color="1F3B57" w:sz="8" w:space="4"/>
        </w:pBdr>
        <w:spacing w:after="160" w:before="360"/>
      </w:pPr>
      <w:r>
        <w:rPr>
          <w:b/>
          <w:bCs/>
          <w:color w:val="1F3B57"/>
          <w:sz w:val="30"/>
          <w:szCs w:val="30"/>
        </w:rPr>
        <w:t xml:space="preserve">3. Data Analysis (SQL) — Segments, Loyalty &amp; Purchase Drivers</w:t>
      </w:r>
    </w:p>
    <w:p>
      <w:pPr>
        <w:spacing w:after="160" w:line="276"/>
      </w:pPr>
      <w:r>
        <w:rPr>
          <w:color w:val="222222"/>
          <w:sz w:val="22"/>
          <w:szCs w:val="22"/>
        </w:rPr>
        <w:t xml:space="preserve">The cleaned data was loaded into a relational database and queried to answer the three questions called for in the business brief: who are the customer segments, what does loyalty look like, and what drives purchase behavior. Representative queries and their output are shown below; the full query set is included in the project repository.</w:t>
      </w:r>
    </w:p>
    <w:p>
      <w:pPr>
        <w:pStyle w:val="Heading2"/>
        <w:spacing w:after="120" w:before="280"/>
      </w:pPr>
      <w:r>
        <w:rPr>
          <w:b/>
          <w:bCs/>
          <w:color w:val="2E8B8B"/>
          <w:sz w:val="24"/>
          <w:szCs w:val="24"/>
        </w:rPr>
        <w:t xml:space="preserve">3.1 Customer Segments by Age Group</w:t>
      </w:r>
    </w:p>
    <w:p>
      <w:pPr>
        <w:pBdr>
          <w:top w:val="single" w:color="CCCCCC" w:sz="4"/>
          <w:bottom w:val="single" w:color="CCCCCC" w:sz="4"/>
          <w:left w:val="single" w:color="CCCCCC" w:sz="4"/>
          <w:right w:val="single" w:color="CCCCCC" w:sz="4"/>
        </w:pBdr>
        <w:shd w:fill="F5F5F5" w:val="clear"/>
        <w:spacing w:after="200" w:before="80"/>
      </w:pPr>
      <w:r>
        <w:rPr>
          <w:rFonts w:ascii="Consolas" w:cs="Consolas" w:eastAsia="Consolas" w:hAnsi="Consolas"/>
          <w:color w:val="1F1F1F"/>
          <w:sz w:val="18"/>
          <w:szCs w:val="18"/>
        </w:rPr>
        <w:t xml:space="preserve">SELECT age_group, COUNT(*) AS customers,</w:t>
      </w:r>
      <w:r>
        <w:rPr>
          <w:rFonts w:ascii="Consolas" w:cs="Consolas" w:eastAsia="Consolas" w:hAnsi="Consolas"/>
          <w:color w:val="1F1F1F"/>
          <w:sz w:val="18"/>
          <w:szCs w:val="18"/>
        </w:rPr>
        <w:br/>
        <w:t xml:space="preserve">       ROUND(AVG(purchase_amount),2) AS avg_purchase_usd,</w:t>
      </w:r>
      <w:r>
        <w:rPr>
          <w:rFonts w:ascii="Consolas" w:cs="Consolas" w:eastAsia="Consolas" w:hAnsi="Consolas"/>
          <w:color w:val="1F1F1F"/>
          <w:sz w:val="18"/>
          <w:szCs w:val="18"/>
        </w:rPr>
        <w:br/>
        <w:t xml:space="preserve">       ROUND(AVG(review_rating),2)   AS avg_review_rating,</w:t>
      </w:r>
      <w:r>
        <w:rPr>
          <w:rFonts w:ascii="Consolas" w:cs="Consolas" w:eastAsia="Consolas" w:hAnsi="Consolas"/>
          <w:color w:val="1F1F1F"/>
          <w:sz w:val="18"/>
          <w:szCs w:val="18"/>
        </w:rPr>
        <w:br/>
        <w:t xml:space="preserve">       ROUND(AVG(previous_purchases),1) AS avg_previous_purchases</w:t>
      </w:r>
      <w:r>
        <w:rPr>
          <w:rFonts w:ascii="Consolas" w:cs="Consolas" w:eastAsia="Consolas" w:hAnsi="Consolas"/>
          <w:color w:val="1F1F1F"/>
          <w:sz w:val="18"/>
          <w:szCs w:val="18"/>
        </w:rPr>
        <w:br/>
        <w:t xml:space="preserve">FROM customers</w:t>
      </w:r>
      <w:r>
        <w:rPr>
          <w:rFonts w:ascii="Consolas" w:cs="Consolas" w:eastAsia="Consolas" w:hAnsi="Consolas"/>
          <w:color w:val="1F1F1F"/>
          <w:sz w:val="18"/>
          <w:szCs w:val="18"/>
        </w:rPr>
        <w:br/>
        <w:t xml:space="preserve">GROUP BY age_group</w:t>
      </w:r>
      <w:r>
        <w:rPr>
          <w:rFonts w:ascii="Consolas" w:cs="Consolas" w:eastAsia="Consolas" w:hAnsi="Consolas"/>
          <w:color w:val="1F1F1F"/>
          <w:sz w:val="18"/>
          <w:szCs w:val="18"/>
        </w:rPr>
        <w:br/>
        <w:t xml:space="preserve">ORDER BY avg_purchase_usd DESC;</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000"/>
        <w:gridCol w:w="1900"/>
        <w:gridCol w:w="2900"/>
      </w:tblGrid>
      <w:tr>
        <w:trPr>
          <w:tblHeader/>
        </w:trPr>
        <w:tc>
          <w:tcPr>
            <w:tcW w:type="dxa" w:w="2600"/>
            <w:shd w:fill="1F3B57" w:val="clear"/>
            <w:tcMar>
              <w:top w:type="dxa" w:w="80"/>
              <w:left w:type="dxa" w:w="100"/>
              <w:bottom w:type="dxa" w:w="80"/>
              <w:right w:type="dxa" w:w="100"/>
            </w:tcMar>
            <w:vAlign w:val="center"/>
          </w:tcPr>
          <w:p>
            <w:pPr>
              <w:jc w:val="left"/>
            </w:pPr>
            <w:r>
              <w:rPr>
                <w:b/>
                <w:bCs/>
                <w:color w:val="FFFFFF"/>
                <w:sz w:val="19"/>
                <w:szCs w:val="19"/>
              </w:rPr>
              <w:t xml:space="preserve">Age Group</w:t>
            </w:r>
          </w:p>
        </w:tc>
        <w:tc>
          <w:tcPr>
            <w:tcW w:type="dxa" w:w="2100"/>
            <w:shd w:fill="1F3B57" w:val="clear"/>
            <w:tcMar>
              <w:top w:type="dxa" w:w="80"/>
              <w:left w:type="dxa" w:w="100"/>
              <w:bottom w:type="dxa" w:w="80"/>
              <w:right w:type="dxa" w:w="100"/>
            </w:tcMar>
            <w:vAlign w:val="center"/>
          </w:tcPr>
          <w:p>
            <w:pPr>
              <w:jc w:val="left"/>
            </w:pPr>
            <w:r>
              <w:rPr>
                <w:b/>
                <w:bCs/>
                <w:color w:val="FFFFFF"/>
                <w:sz w:val="19"/>
                <w:szCs w:val="19"/>
              </w:rPr>
              <w:t xml:space="preserve">Customers</w:t>
            </w:r>
          </w:p>
        </w:tc>
        <w:tc>
          <w:tcPr>
            <w:tcW w:type="dxa" w:w="2000"/>
            <w:shd w:fill="1F3B57" w:val="clear"/>
            <w:tcMar>
              <w:top w:type="dxa" w:w="80"/>
              <w:left w:type="dxa" w:w="100"/>
              <w:bottom w:type="dxa" w:w="80"/>
              <w:right w:type="dxa" w:w="100"/>
            </w:tcMar>
            <w:vAlign w:val="center"/>
          </w:tcPr>
          <w:p>
            <w:pPr>
              <w:jc w:val="left"/>
            </w:pPr>
            <w:r>
              <w:rPr>
                <w:b/>
                <w:bCs/>
                <w:color w:val="FFFFFF"/>
                <w:sz w:val="19"/>
                <w:szCs w:val="19"/>
              </w:rPr>
              <w:t xml:space="preserve">Avg. Purchase</w:t>
            </w:r>
          </w:p>
        </w:tc>
        <w:tc>
          <w:tcPr>
            <w:tcW w:type="dxa" w:w="1900"/>
            <w:shd w:fill="1F3B57" w:val="clear"/>
            <w:tcMar>
              <w:top w:type="dxa" w:w="80"/>
              <w:left w:type="dxa" w:w="100"/>
              <w:bottom w:type="dxa" w:w="80"/>
              <w:right w:type="dxa" w:w="100"/>
            </w:tcMar>
            <w:vAlign w:val="center"/>
          </w:tcPr>
          <w:p>
            <w:pPr>
              <w:jc w:val="left"/>
            </w:pPr>
            <w:r>
              <w:rPr>
                <w:b/>
                <w:bCs/>
                <w:color w:val="FFFFFF"/>
                <w:sz w:val="19"/>
                <w:szCs w:val="19"/>
              </w:rPr>
              <w:t xml:space="preserve">Avg. Rating</w:t>
            </w:r>
          </w:p>
        </w:tc>
        <w:tc>
          <w:tcPr>
            <w:tcW w:type="dxa" w:w="2900"/>
            <w:shd w:fill="1F3B57" w:val="clear"/>
            <w:tcMar>
              <w:top w:type="dxa" w:w="80"/>
              <w:left w:type="dxa" w:w="100"/>
              <w:bottom w:type="dxa" w:w="80"/>
              <w:right w:type="dxa" w:w="100"/>
            </w:tcMar>
            <w:vAlign w:val="center"/>
          </w:tcPr>
          <w:p>
            <w:pPr>
              <w:jc w:val="left"/>
            </w:pPr>
            <w:r>
              <w:rPr>
                <w:b/>
                <w:bCs/>
                <w:color w:val="FFFFFF"/>
                <w:sz w:val="19"/>
                <w:szCs w:val="19"/>
              </w:rPr>
              <w:t xml:space="preserve">Avg. Prior Purchases</w:t>
            </w:r>
          </w:p>
        </w:tc>
      </w:tr>
      <w:tr>
        <w:tc>
          <w:tcPr>
            <w:tcW w:type="dxa" w:w="2600"/>
            <w:tcMar>
              <w:top w:type="dxa" w:w="70"/>
              <w:left w:type="dxa" w:w="100"/>
              <w:bottom w:type="dxa" w:w="70"/>
              <w:right w:type="dxa" w:w="100"/>
            </w:tcMar>
            <w:vAlign w:val="center"/>
          </w:tcPr>
          <w:p>
            <w:pPr>
              <w:jc w:val="left"/>
            </w:pPr>
            <w:r>
              <w:rPr>
                <w:b w:val="false"/>
                <w:bCs w:val="false"/>
                <w:color w:val="222222"/>
                <w:sz w:val="20"/>
                <w:szCs w:val="20"/>
              </w:rPr>
              <w:t xml:space="preserve">Young Adult</w:t>
            </w:r>
          </w:p>
        </w:tc>
        <w:tc>
          <w:tcPr>
            <w:tcW w:type="dxa" w:w="2100"/>
            <w:tcMar>
              <w:top w:type="dxa" w:w="70"/>
              <w:left w:type="dxa" w:w="100"/>
              <w:bottom w:type="dxa" w:w="70"/>
              <w:right w:type="dxa" w:w="100"/>
            </w:tcMar>
            <w:vAlign w:val="center"/>
          </w:tcPr>
          <w:p>
            <w:pPr>
              <w:jc w:val="center"/>
            </w:pPr>
            <w:r>
              <w:rPr>
                <w:b w:val="false"/>
                <w:bCs w:val="false"/>
                <w:color w:val="222222"/>
                <w:sz w:val="20"/>
                <w:szCs w:val="20"/>
              </w:rPr>
              <w:t xml:space="preserve">571</w:t>
            </w:r>
          </w:p>
        </w:tc>
        <w:tc>
          <w:tcPr>
            <w:tcW w:type="dxa" w:w="2000"/>
            <w:tcMar>
              <w:top w:type="dxa" w:w="70"/>
              <w:left w:type="dxa" w:w="100"/>
              <w:bottom w:type="dxa" w:w="70"/>
              <w:right w:type="dxa" w:w="100"/>
            </w:tcMar>
            <w:vAlign w:val="center"/>
          </w:tcPr>
          <w:p>
            <w:pPr>
              <w:jc w:val="center"/>
            </w:pPr>
            <w:r>
              <w:rPr>
                <w:b w:val="false"/>
                <w:bCs w:val="false"/>
                <w:color w:val="222222"/>
                <w:sz w:val="20"/>
                <w:szCs w:val="20"/>
              </w:rPr>
              <w:t xml:space="preserve">$60.65</w:t>
            </w:r>
          </w:p>
        </w:tc>
        <w:tc>
          <w:tcPr>
            <w:tcW w:type="dxa" w:w="1900"/>
            <w:tcMar>
              <w:top w:type="dxa" w:w="70"/>
              <w:left w:type="dxa" w:w="100"/>
              <w:bottom w:type="dxa" w:w="70"/>
              <w:right w:type="dxa" w:w="100"/>
            </w:tcMar>
            <w:vAlign w:val="center"/>
          </w:tcPr>
          <w:p>
            <w:pPr>
              <w:jc w:val="center"/>
            </w:pPr>
            <w:r>
              <w:rPr>
                <w:b w:val="false"/>
                <w:bCs w:val="false"/>
                <w:color w:val="222222"/>
                <w:sz w:val="20"/>
                <w:szCs w:val="20"/>
              </w:rPr>
              <w:t xml:space="preserve">3.82</w:t>
            </w:r>
          </w:p>
        </w:tc>
        <w:tc>
          <w:tcPr>
            <w:tcW w:type="dxa" w:w="2900"/>
            <w:tcMar>
              <w:top w:type="dxa" w:w="70"/>
              <w:left w:type="dxa" w:w="100"/>
              <w:bottom w:type="dxa" w:w="70"/>
              <w:right w:type="dxa" w:w="100"/>
            </w:tcMar>
            <w:vAlign w:val="center"/>
          </w:tcPr>
          <w:p>
            <w:pPr>
              <w:jc w:val="center"/>
            </w:pPr>
            <w:r>
              <w:rPr>
                <w:b w:val="false"/>
                <w:bCs w:val="false"/>
                <w:color w:val="222222"/>
                <w:sz w:val="20"/>
                <w:szCs w:val="20"/>
              </w:rPr>
              <w:t xml:space="preserve">24.6</w:t>
            </w:r>
          </w:p>
        </w:tc>
      </w:tr>
      <w:tr>
        <w:tc>
          <w:tcPr>
            <w:tcW w:type="dxa" w:w="2600"/>
            <w:shd w:fill="F2F2F2" w:val="clear"/>
            <w:tcMar>
              <w:top w:type="dxa" w:w="70"/>
              <w:left w:type="dxa" w:w="100"/>
              <w:bottom w:type="dxa" w:w="70"/>
              <w:right w:type="dxa" w:w="100"/>
            </w:tcMar>
            <w:vAlign w:val="center"/>
          </w:tcPr>
          <w:p>
            <w:pPr>
              <w:jc w:val="left"/>
            </w:pPr>
            <w:r>
              <w:rPr>
                <w:b w:val="false"/>
                <w:bCs w:val="false"/>
                <w:color w:val="222222"/>
                <w:sz w:val="20"/>
                <w:szCs w:val="20"/>
              </w:rPr>
              <w:t xml:space="preserve">Senior</w:t>
            </w:r>
          </w:p>
        </w:tc>
        <w:tc>
          <w:tcPr>
            <w:tcW w:type="dxa" w:w="21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723</w:t>
            </w:r>
          </w:p>
        </w:tc>
        <w:tc>
          <w:tcPr>
            <w:tcW w:type="dxa" w:w="20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$59.70</w:t>
            </w:r>
          </w:p>
        </w:tc>
        <w:tc>
          <w:tcPr>
            <w:tcW w:type="dxa" w:w="19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3.76</w:t>
            </w:r>
          </w:p>
        </w:tc>
        <w:tc>
          <w:tcPr>
            <w:tcW w:type="dxa" w:w="29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26.1</w:t>
            </w:r>
          </w:p>
        </w:tc>
      </w:tr>
      <w:tr>
        <w:tc>
          <w:tcPr>
            <w:tcW w:type="dxa" w:w="2600"/>
            <w:tcMar>
              <w:top w:type="dxa" w:w="70"/>
              <w:left w:type="dxa" w:w="100"/>
              <w:bottom w:type="dxa" w:w="70"/>
              <w:right w:type="dxa" w:w="100"/>
            </w:tcMar>
            <w:vAlign w:val="center"/>
          </w:tcPr>
          <w:p>
            <w:pPr>
              <w:jc w:val="left"/>
            </w:pPr>
            <w:r>
              <w:rPr>
                <w:b w:val="false"/>
                <w:bCs w:val="false"/>
                <w:color w:val="222222"/>
                <w:sz w:val="20"/>
                <w:szCs w:val="20"/>
              </w:rPr>
              <w:t xml:space="preserve">Adult</w:t>
            </w:r>
          </w:p>
        </w:tc>
        <w:tc>
          <w:tcPr>
            <w:tcW w:type="dxa" w:w="2100"/>
            <w:tcMar>
              <w:top w:type="dxa" w:w="70"/>
              <w:left w:type="dxa" w:w="100"/>
              <w:bottom w:type="dxa" w:w="70"/>
              <w:right w:type="dxa" w:w="100"/>
            </w:tcMar>
            <w:vAlign w:val="center"/>
          </w:tcPr>
          <w:p>
            <w:pPr>
              <w:jc w:val="center"/>
            </w:pPr>
            <w:r>
              <w:rPr>
                <w:b w:val="false"/>
                <w:bCs w:val="false"/>
                <w:color w:val="222222"/>
                <w:sz w:val="20"/>
                <w:szCs w:val="20"/>
              </w:rPr>
              <w:t xml:space="preserve">1,103</w:t>
            </w:r>
          </w:p>
        </w:tc>
        <w:tc>
          <w:tcPr>
            <w:tcW w:type="dxa" w:w="2000"/>
            <w:tcMar>
              <w:top w:type="dxa" w:w="70"/>
              <w:left w:type="dxa" w:w="100"/>
              <w:bottom w:type="dxa" w:w="70"/>
              <w:right w:type="dxa" w:w="100"/>
            </w:tcMar>
            <w:vAlign w:val="center"/>
          </w:tcPr>
          <w:p>
            <w:pPr>
              <w:jc w:val="center"/>
            </w:pPr>
            <w:r>
              <w:rPr>
                <w:b w:val="false"/>
                <w:bCs w:val="false"/>
                <w:color w:val="222222"/>
                <w:sz w:val="20"/>
                <w:szCs w:val="20"/>
              </w:rPr>
              <w:t xml:space="preserve">$59.69</w:t>
            </w:r>
          </w:p>
        </w:tc>
        <w:tc>
          <w:tcPr>
            <w:tcW w:type="dxa" w:w="1900"/>
            <w:tcMar>
              <w:top w:type="dxa" w:w="70"/>
              <w:left w:type="dxa" w:w="100"/>
              <w:bottom w:type="dxa" w:w="70"/>
              <w:right w:type="dxa" w:w="100"/>
            </w:tcMar>
            <w:vAlign w:val="center"/>
          </w:tcPr>
          <w:p>
            <w:pPr>
              <w:jc w:val="center"/>
            </w:pPr>
            <w:r>
              <w:rPr>
                <w:b w:val="false"/>
                <w:bCs w:val="false"/>
                <w:color w:val="222222"/>
                <w:sz w:val="20"/>
                <w:szCs w:val="20"/>
              </w:rPr>
              <w:t xml:space="preserve">3.75</w:t>
            </w:r>
          </w:p>
        </w:tc>
        <w:tc>
          <w:tcPr>
            <w:tcW w:type="dxa" w:w="2900"/>
            <w:tcMar>
              <w:top w:type="dxa" w:w="70"/>
              <w:left w:type="dxa" w:w="100"/>
              <w:bottom w:type="dxa" w:w="70"/>
              <w:right w:type="dxa" w:w="100"/>
            </w:tcMar>
            <w:vAlign w:val="center"/>
          </w:tcPr>
          <w:p>
            <w:pPr>
              <w:jc w:val="center"/>
            </w:pPr>
            <w:r>
              <w:rPr>
                <w:b w:val="false"/>
                <w:bCs w:val="false"/>
                <w:color w:val="222222"/>
                <w:sz w:val="20"/>
                <w:szCs w:val="20"/>
              </w:rPr>
              <w:t xml:space="preserve">25.0</w:t>
            </w:r>
          </w:p>
        </w:tc>
      </w:tr>
      <w:tr>
        <w:tc>
          <w:tcPr>
            <w:tcW w:type="dxa" w:w="2600"/>
            <w:shd w:fill="F2F2F2" w:val="clear"/>
            <w:tcMar>
              <w:top w:type="dxa" w:w="70"/>
              <w:left w:type="dxa" w:w="100"/>
              <w:bottom w:type="dxa" w:w="70"/>
              <w:right w:type="dxa" w:w="100"/>
            </w:tcMar>
            <w:vAlign w:val="center"/>
          </w:tcPr>
          <w:p>
            <w:pPr>
              <w:jc w:val="left"/>
            </w:pPr>
            <w:r>
              <w:rPr>
                <w:b w:val="false"/>
                <w:bCs w:val="false"/>
                <w:color w:val="222222"/>
                <w:sz w:val="20"/>
                <w:szCs w:val="20"/>
              </w:rPr>
              <w:t xml:space="preserve">Middle-Aged</w:t>
            </w:r>
          </w:p>
        </w:tc>
        <w:tc>
          <w:tcPr>
            <w:tcW w:type="dxa" w:w="21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1,503</w:t>
            </w:r>
          </w:p>
        </w:tc>
        <w:tc>
          <w:tcPr>
            <w:tcW w:type="dxa" w:w="20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$59.51</w:t>
            </w:r>
          </w:p>
        </w:tc>
        <w:tc>
          <w:tcPr>
            <w:tcW w:type="dxa" w:w="19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3.72</w:t>
            </w:r>
          </w:p>
        </w:tc>
        <w:tc>
          <w:tcPr>
            <w:tcW w:type="dxa" w:w="29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25.5</w:t>
            </w:r>
          </w:p>
        </w:tc>
      </w:tr>
    </w:tbl>
    <w:p>
      <w:pPr>
        <w:spacing w:after="240" w:before="60"/>
        <w:jc w:val="center"/>
      </w:pPr>
      <w:r>
        <w:rPr>
          <w:i/>
          <w:iCs/>
          <w:color w:val="595959"/>
          <w:sz w:val="18"/>
          <w:szCs w:val="18"/>
        </w:rPr>
        <w:t xml:space="preserve">Table 1. Basket size and satisfaction are flat across age cohorts (within a $1.14 band); Middle-Aged is the largest cohort by headcount.</w:t>
      </w:r>
    </w:p>
    <w:p>
      <w:pPr>
        <w:pStyle w:val="Heading2"/>
        <w:spacing w:after="120" w:before="280"/>
      </w:pPr>
      <w:r>
        <w:rPr>
          <w:b/>
          <w:bCs/>
          <w:color w:val="2E8B8B"/>
          <w:sz w:val="24"/>
          <w:szCs w:val="24"/>
        </w:rPr>
        <w:t xml:space="preserve">3.2 Loyalty Signals: Subscription &amp; Discount Usage</w:t>
      </w:r>
    </w:p>
    <w:p>
      <w:pPr>
        <w:pBdr>
          <w:top w:val="single" w:color="CCCCCC" w:sz="4"/>
          <w:bottom w:val="single" w:color="CCCCCC" w:sz="4"/>
          <w:left w:val="single" w:color="CCCCCC" w:sz="4"/>
          <w:right w:val="single" w:color="CCCCCC" w:sz="4"/>
        </w:pBdr>
        <w:shd w:fill="F5F5F5" w:val="clear"/>
        <w:spacing w:after="200" w:before="80"/>
      </w:pPr>
      <w:r>
        <w:rPr>
          <w:rFonts w:ascii="Consolas" w:cs="Consolas" w:eastAsia="Consolas" w:hAnsi="Consolas"/>
          <w:color w:val="1F1F1F"/>
          <w:sz w:val="18"/>
          <w:szCs w:val="18"/>
        </w:rPr>
        <w:t xml:space="preserve">SELECT subscription_status, COUNT(*) AS customers,</w:t>
      </w:r>
      <w:r>
        <w:rPr>
          <w:rFonts w:ascii="Consolas" w:cs="Consolas" w:eastAsia="Consolas" w:hAnsi="Consolas"/>
          <w:color w:val="1F1F1F"/>
          <w:sz w:val="18"/>
          <w:szCs w:val="18"/>
        </w:rPr>
        <w:br/>
        <w:t xml:space="preserve">       ROUND(AVG(previous_purchases),2) AS avg_previous_purchases,</w:t>
      </w:r>
      <w:r>
        <w:rPr>
          <w:rFonts w:ascii="Consolas" w:cs="Consolas" w:eastAsia="Consolas" w:hAnsi="Consolas"/>
          <w:color w:val="1F1F1F"/>
          <w:sz w:val="18"/>
          <w:szCs w:val="18"/>
        </w:rPr>
        <w:br/>
        <w:t xml:space="preserve">       ROUND(AVG(purchase_amount),2)   AS avg_purchase_amount</w:t>
      </w:r>
      <w:r>
        <w:rPr>
          <w:rFonts w:ascii="Consolas" w:cs="Consolas" w:eastAsia="Consolas" w:hAnsi="Consolas"/>
          <w:color w:val="1F1F1F"/>
          <w:sz w:val="18"/>
          <w:szCs w:val="18"/>
        </w:rPr>
        <w:br/>
        <w:t xml:space="preserve">FROM customers GROUP BY subscription_status;</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2600"/>
        <w:gridCol w:w="2000"/>
        <w:gridCol w:w="1500"/>
      </w:tblGrid>
      <w:tr>
        <w:trPr>
          <w:tblHeader/>
        </w:trPr>
        <w:tc>
          <w:tcPr>
            <w:tcW w:type="dxa" w:w="3300"/>
            <w:shd w:fill="1F3B57" w:val="clear"/>
            <w:tcMar>
              <w:top w:type="dxa" w:w="80"/>
              <w:left w:type="dxa" w:w="100"/>
              <w:bottom w:type="dxa" w:w="80"/>
              <w:right w:type="dxa" w:w="100"/>
            </w:tcMar>
            <w:vAlign w:val="center"/>
          </w:tcPr>
          <w:p>
            <w:pPr>
              <w:jc w:val="left"/>
            </w:pPr>
            <w:r>
              <w:rPr>
                <w:b/>
                <w:bCs/>
                <w:color w:val="FFFFFF"/>
                <w:sz w:val="19"/>
                <w:szCs w:val="19"/>
              </w:rPr>
              <w:t xml:space="preserve">Segment</w:t>
            </w:r>
          </w:p>
        </w:tc>
        <w:tc>
          <w:tcPr>
            <w:tcW w:type="dxa" w:w="2100"/>
            <w:shd w:fill="1F3B57" w:val="clear"/>
            <w:tcMar>
              <w:top w:type="dxa" w:w="80"/>
              <w:left w:type="dxa" w:w="100"/>
              <w:bottom w:type="dxa" w:w="80"/>
              <w:right w:type="dxa" w:w="100"/>
            </w:tcMar>
            <w:vAlign w:val="center"/>
          </w:tcPr>
          <w:p>
            <w:pPr>
              <w:jc w:val="left"/>
            </w:pPr>
            <w:r>
              <w:rPr>
                <w:b/>
                <w:bCs/>
                <w:color w:val="FFFFFF"/>
                <w:sz w:val="19"/>
                <w:szCs w:val="19"/>
              </w:rPr>
              <w:t xml:space="preserve">Customers</w:t>
            </w:r>
          </w:p>
        </w:tc>
        <w:tc>
          <w:tcPr>
            <w:tcW w:type="dxa" w:w="2600"/>
            <w:shd w:fill="1F3B57" w:val="clear"/>
            <w:tcMar>
              <w:top w:type="dxa" w:w="80"/>
              <w:left w:type="dxa" w:w="100"/>
              <w:bottom w:type="dxa" w:w="80"/>
              <w:right w:type="dxa" w:w="100"/>
            </w:tcMar>
            <w:vAlign w:val="center"/>
          </w:tcPr>
          <w:p>
            <w:pPr>
              <w:jc w:val="left"/>
            </w:pPr>
            <w:r>
              <w:rPr>
                <w:b/>
                <w:bCs/>
                <w:color w:val="FFFFFF"/>
                <w:sz w:val="19"/>
                <w:szCs w:val="19"/>
              </w:rPr>
              <w:t xml:space="preserve">Avg. Prior Purchases</w:t>
            </w:r>
          </w:p>
        </w:tc>
        <w:tc>
          <w:tcPr>
            <w:tcW w:type="dxa" w:w="2000"/>
            <w:shd w:fill="1F3B57" w:val="clear"/>
            <w:tcMar>
              <w:top w:type="dxa" w:w="80"/>
              <w:left w:type="dxa" w:w="100"/>
              <w:bottom w:type="dxa" w:w="80"/>
              <w:right w:type="dxa" w:w="100"/>
            </w:tcMar>
            <w:vAlign w:val="center"/>
          </w:tcPr>
          <w:p>
            <w:pPr>
              <w:jc w:val="left"/>
            </w:pPr>
            <w:r>
              <w:rPr>
                <w:b/>
                <w:bCs/>
                <w:color w:val="FFFFFF"/>
                <w:sz w:val="19"/>
                <w:szCs w:val="19"/>
              </w:rPr>
              <w:t xml:space="preserve">Avg. Purchase</w:t>
            </w:r>
          </w:p>
        </w:tc>
        <w:tc>
          <w:tcPr>
            <w:tcW w:type="dxa" w:w="1500"/>
            <w:shd w:fill="1F3B57" w:val="clear"/>
            <w:tcMar>
              <w:top w:type="dxa" w:w="80"/>
              <w:left w:type="dxa" w:w="100"/>
              <w:bottom w:type="dxa" w:w="80"/>
              <w:right w:type="dxa" w:w="100"/>
            </w:tcMar>
            <w:vAlign w:val="center"/>
          </w:tcPr>
          <w:p>
            <w:pPr>
              <w:jc w:val="left"/>
            </w:pPr>
            <w:r>
              <w:rPr>
                <w:b/>
                <w:bCs/>
                <w:color w:val="FFFFFF"/>
                <w:sz w:val="19"/>
                <w:szCs w:val="19"/>
              </w:rPr>
              <w:t xml:space="preserve">Avg. Rating</w:t>
            </w:r>
          </w:p>
        </w:tc>
      </w:tr>
      <w:tr>
        <w:tc>
          <w:tcPr>
            <w:tcW w:type="dxa" w:w="3300"/>
            <w:tcMar>
              <w:top w:type="dxa" w:w="70"/>
              <w:left w:type="dxa" w:w="100"/>
              <w:bottom w:type="dxa" w:w="70"/>
              <w:right w:type="dxa" w:w="100"/>
            </w:tcMar>
            <w:vAlign w:val="center"/>
          </w:tcPr>
          <w:p>
            <w:pPr>
              <w:jc w:val="left"/>
            </w:pPr>
            <w:r>
              <w:rPr>
                <w:b w:val="false"/>
                <w:bCs w:val="false"/>
                <w:color w:val="222222"/>
                <w:sz w:val="20"/>
                <w:szCs w:val="20"/>
              </w:rPr>
              <w:t xml:space="preserve">Subscribed — Yes</w:t>
            </w:r>
          </w:p>
        </w:tc>
        <w:tc>
          <w:tcPr>
            <w:tcW w:type="dxa" w:w="2100"/>
            <w:tcMar>
              <w:top w:type="dxa" w:w="70"/>
              <w:left w:type="dxa" w:w="100"/>
              <w:bottom w:type="dxa" w:w="70"/>
              <w:right w:type="dxa" w:w="100"/>
            </w:tcMar>
            <w:vAlign w:val="center"/>
          </w:tcPr>
          <w:p>
            <w:pPr>
              <w:jc w:val="center"/>
            </w:pPr>
            <w:r>
              <w:rPr>
                <w:b w:val="false"/>
                <w:bCs w:val="false"/>
                <w:color w:val="222222"/>
                <w:sz w:val="20"/>
                <w:szCs w:val="20"/>
              </w:rPr>
              <w:t xml:space="preserve">1,053</w:t>
            </w:r>
          </w:p>
        </w:tc>
        <w:tc>
          <w:tcPr>
            <w:tcW w:type="dxa" w:w="2600"/>
            <w:tcMar>
              <w:top w:type="dxa" w:w="70"/>
              <w:left w:type="dxa" w:w="100"/>
              <w:bottom w:type="dxa" w:w="70"/>
              <w:right w:type="dxa" w:w="100"/>
            </w:tcMar>
            <w:vAlign w:val="center"/>
          </w:tcPr>
          <w:p>
            <w:pPr>
              <w:jc w:val="center"/>
            </w:pPr>
            <w:r>
              <w:rPr>
                <w:b w:val="false"/>
                <w:bCs w:val="false"/>
                <w:color w:val="222222"/>
                <w:sz w:val="20"/>
                <w:szCs w:val="20"/>
              </w:rPr>
              <w:t xml:space="preserve">26.08</w:t>
            </w:r>
          </w:p>
        </w:tc>
        <w:tc>
          <w:tcPr>
            <w:tcW w:type="dxa" w:w="2000"/>
            <w:tcMar>
              <w:top w:type="dxa" w:w="70"/>
              <w:left w:type="dxa" w:w="100"/>
              <w:bottom w:type="dxa" w:w="70"/>
              <w:right w:type="dxa" w:w="100"/>
            </w:tcMar>
            <w:vAlign w:val="center"/>
          </w:tcPr>
          <w:p>
            <w:pPr>
              <w:jc w:val="center"/>
            </w:pPr>
            <w:r>
              <w:rPr>
                <w:b w:val="false"/>
                <w:bCs w:val="false"/>
                <w:color w:val="222222"/>
                <w:sz w:val="20"/>
                <w:szCs w:val="20"/>
              </w:rPr>
              <w:t xml:space="preserve">$59.49</w:t>
            </w:r>
          </w:p>
        </w:tc>
        <w:tc>
          <w:tcPr>
            <w:tcW w:type="dxa" w:w="1500"/>
            <w:tcMar>
              <w:top w:type="dxa" w:w="70"/>
              <w:left w:type="dxa" w:w="100"/>
              <w:bottom w:type="dxa" w:w="70"/>
              <w:right w:type="dxa" w:w="100"/>
            </w:tcMar>
            <w:vAlign w:val="center"/>
          </w:tcPr>
          <w:p>
            <w:pPr>
              <w:jc w:val="center"/>
            </w:pPr>
            <w:r>
              <w:rPr>
                <w:b w:val="false"/>
                <w:bCs w:val="false"/>
                <w:color w:val="222222"/>
                <w:sz w:val="20"/>
                <w:szCs w:val="20"/>
              </w:rPr>
              <w:t xml:space="preserve">3.75</w:t>
            </w:r>
          </w:p>
        </w:tc>
      </w:tr>
      <w:tr>
        <w:tc>
          <w:tcPr>
            <w:tcW w:type="dxa" w:w="3300"/>
            <w:shd w:fill="F2F2F2" w:val="clear"/>
            <w:tcMar>
              <w:top w:type="dxa" w:w="70"/>
              <w:left w:type="dxa" w:w="100"/>
              <w:bottom w:type="dxa" w:w="70"/>
              <w:right w:type="dxa" w:w="100"/>
            </w:tcMar>
            <w:vAlign w:val="center"/>
          </w:tcPr>
          <w:p>
            <w:pPr>
              <w:jc w:val="left"/>
            </w:pPr>
            <w:r>
              <w:rPr>
                <w:b w:val="false"/>
                <w:bCs w:val="false"/>
                <w:color w:val="222222"/>
                <w:sz w:val="20"/>
                <w:szCs w:val="20"/>
              </w:rPr>
              <w:t xml:space="preserve">Subscribed — No</w:t>
            </w:r>
          </w:p>
        </w:tc>
        <w:tc>
          <w:tcPr>
            <w:tcW w:type="dxa" w:w="21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2,847</w:t>
            </w:r>
          </w:p>
        </w:tc>
        <w:tc>
          <w:tcPr>
            <w:tcW w:type="dxa" w:w="26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25.08</w:t>
            </w:r>
          </w:p>
        </w:tc>
        <w:tc>
          <w:tcPr>
            <w:tcW w:type="dxa" w:w="20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$59.87</w:t>
            </w:r>
          </w:p>
        </w:tc>
        <w:tc>
          <w:tcPr>
            <w:tcW w:type="dxa" w:w="15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3.75</w:t>
            </w:r>
          </w:p>
        </w:tc>
      </w:tr>
      <w:tr>
        <w:tc>
          <w:tcPr>
            <w:tcW w:type="dxa" w:w="3300"/>
            <w:tcMar>
              <w:top w:type="dxa" w:w="70"/>
              <w:left w:type="dxa" w:w="100"/>
              <w:bottom w:type="dxa" w:w="70"/>
              <w:right w:type="dxa" w:w="100"/>
            </w:tcMar>
            <w:vAlign w:val="center"/>
          </w:tcPr>
          <w:p>
            <w:pPr>
              <w:jc w:val="left"/>
            </w:pPr>
            <w:r>
              <w:rPr>
                <w:b w:val="false"/>
                <w:bCs w:val="false"/>
                <w:color w:val="222222"/>
                <w:sz w:val="20"/>
                <w:szCs w:val="20"/>
              </w:rPr>
              <w:t xml:space="preserve">Discount Applied — Yes</w:t>
            </w:r>
          </w:p>
        </w:tc>
        <w:tc>
          <w:tcPr>
            <w:tcW w:type="dxa" w:w="2100"/>
            <w:tcMar>
              <w:top w:type="dxa" w:w="70"/>
              <w:left w:type="dxa" w:w="100"/>
              <w:bottom w:type="dxa" w:w="70"/>
              <w:right w:type="dxa" w:w="100"/>
            </w:tcMar>
            <w:vAlign w:val="center"/>
          </w:tcPr>
          <w:p>
            <w:pPr>
              <w:jc w:val="center"/>
            </w:pPr>
            <w:r>
              <w:rPr>
                <w:b w:val="false"/>
                <w:bCs w:val="false"/>
                <w:color w:val="222222"/>
                <w:sz w:val="20"/>
                <w:szCs w:val="20"/>
              </w:rPr>
              <w:t xml:space="preserve">1,677</w:t>
            </w:r>
          </w:p>
        </w:tc>
        <w:tc>
          <w:tcPr>
            <w:tcW w:type="dxa" w:w="2600"/>
            <w:tcMar>
              <w:top w:type="dxa" w:w="70"/>
              <w:left w:type="dxa" w:w="100"/>
              <w:bottom w:type="dxa" w:w="70"/>
              <w:right w:type="dxa" w:w="100"/>
            </w:tcMar>
            <w:vAlign w:val="center"/>
          </w:tcPr>
          <w:p>
            <w:pPr>
              <w:jc w:val="center"/>
            </w:pPr>
            <w:r>
              <w:rPr>
                <w:b w:val="false"/>
                <w:bCs w:val="false"/>
                <w:color w:val="222222"/>
                <w:sz w:val="20"/>
                <w:szCs w:val="20"/>
              </w:rPr>
              <w:t xml:space="preserve">25.74</w:t>
            </w:r>
          </w:p>
        </w:tc>
        <w:tc>
          <w:tcPr>
            <w:tcW w:type="dxa" w:w="2000"/>
            <w:tcMar>
              <w:top w:type="dxa" w:w="70"/>
              <w:left w:type="dxa" w:w="100"/>
              <w:bottom w:type="dxa" w:w="70"/>
              <w:right w:type="dxa" w:w="100"/>
            </w:tcMar>
            <w:vAlign w:val="center"/>
          </w:tcPr>
          <w:p>
            <w:pPr>
              <w:jc w:val="center"/>
            </w:pPr>
            <w:r>
              <w:rPr>
                <w:b w:val="false"/>
                <w:bCs w:val="false"/>
                <w:color w:val="222222"/>
                <w:sz w:val="20"/>
                <w:szCs w:val="20"/>
              </w:rPr>
              <w:t xml:space="preserve">$59.28</w:t>
            </w:r>
          </w:p>
        </w:tc>
        <w:tc>
          <w:tcPr>
            <w:tcW w:type="dxa" w:w="1500"/>
            <w:tcMar>
              <w:top w:type="dxa" w:w="70"/>
              <w:left w:type="dxa" w:w="100"/>
              <w:bottom w:type="dxa" w:w="70"/>
              <w:right w:type="dxa" w:w="100"/>
            </w:tcMar>
            <w:vAlign w:val="center"/>
          </w:tcPr>
          <w:p>
            <w:pPr>
              <w:jc w:val="center"/>
            </w:pPr>
            <w:r>
              <w:rPr>
                <w:b w:val="false"/>
                <w:bCs w:val="false"/>
                <w:color w:val="222222"/>
                <w:sz w:val="20"/>
                <w:szCs w:val="20"/>
              </w:rPr>
              <w:t xml:space="preserve">—</w:t>
            </w:r>
          </w:p>
        </w:tc>
      </w:tr>
      <w:tr>
        <w:tc>
          <w:tcPr>
            <w:tcW w:type="dxa" w:w="3300"/>
            <w:shd w:fill="F2F2F2" w:val="clear"/>
            <w:tcMar>
              <w:top w:type="dxa" w:w="70"/>
              <w:left w:type="dxa" w:w="100"/>
              <w:bottom w:type="dxa" w:w="70"/>
              <w:right w:type="dxa" w:w="100"/>
            </w:tcMar>
            <w:vAlign w:val="center"/>
          </w:tcPr>
          <w:p>
            <w:pPr>
              <w:jc w:val="left"/>
            </w:pPr>
            <w:r>
              <w:rPr>
                <w:b w:val="false"/>
                <w:bCs w:val="false"/>
                <w:color w:val="222222"/>
                <w:sz w:val="20"/>
                <w:szCs w:val="20"/>
              </w:rPr>
              <w:t xml:space="preserve">Discount Applied — No</w:t>
            </w:r>
          </w:p>
        </w:tc>
        <w:tc>
          <w:tcPr>
            <w:tcW w:type="dxa" w:w="21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2,223</w:t>
            </w:r>
          </w:p>
        </w:tc>
        <w:tc>
          <w:tcPr>
            <w:tcW w:type="dxa" w:w="26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25.06</w:t>
            </w:r>
          </w:p>
        </w:tc>
        <w:tc>
          <w:tcPr>
            <w:tcW w:type="dxa" w:w="20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$60.13</w:t>
            </w:r>
          </w:p>
        </w:tc>
        <w:tc>
          <w:tcPr>
            <w:tcW w:type="dxa" w:w="15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w:t>
            </w:r>
          </w:p>
        </w:tc>
      </w:tr>
    </w:tbl>
    <w:p>
      <w:pPr>
        <w:spacing w:after="240" w:before="60"/>
        <w:jc w:val="center"/>
      </w:pPr>
      <w:r>
        <w:rPr>
          <w:i/>
          <w:iCs/>
          <w:color w:val="595959"/>
          <w:sz w:val="18"/>
          <w:szCs w:val="18"/>
        </w:rPr>
        <w:t xml:space="preserve">Table 2. Subscribers and discount users show slightly deeper purchase history than non-users, but not a materially larger basket.</w:t>
      </w:r>
    </w:p>
    <w:p>
      <w:pPr>
        <w:pStyle w:val="Heading2"/>
        <w:spacing w:after="120" w:before="280"/>
      </w:pPr>
      <w:r>
        <w:rPr>
          <w:b/>
          <w:bCs/>
          <w:color w:val="2E8B8B"/>
          <w:sz w:val="24"/>
          <w:szCs w:val="24"/>
        </w:rPr>
        <w:t xml:space="preserve">3.3 Purchase Drivers: Category, Season &amp; Fulfillment</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300"/>
        <w:gridCol w:w="2100"/>
        <w:gridCol w:w="1900"/>
      </w:tblGrid>
      <w:tr>
        <w:trPr>
          <w:tblHeader/>
        </w:trPr>
        <w:tc>
          <w:tcPr>
            <w:tcW w:type="dxa" w:w="2500"/>
            <w:shd w:fill="1F3B57" w:val="clear"/>
            <w:tcMar>
              <w:top w:type="dxa" w:w="80"/>
              <w:left w:type="dxa" w:w="100"/>
              <w:bottom w:type="dxa" w:w="80"/>
              <w:right w:type="dxa" w:w="100"/>
            </w:tcMar>
            <w:vAlign w:val="center"/>
          </w:tcPr>
          <w:p>
            <w:pPr>
              <w:jc w:val="left"/>
            </w:pPr>
            <w:r>
              <w:rPr>
                <w:b/>
                <w:bCs/>
                <w:color w:val="FFFFFF"/>
                <w:sz w:val="19"/>
                <w:szCs w:val="19"/>
              </w:rPr>
              <w:t xml:space="preserve">Category</w:t>
            </w:r>
          </w:p>
        </w:tc>
        <w:tc>
          <w:tcPr>
            <w:tcW w:type="dxa" w:w="2100"/>
            <w:shd w:fill="1F3B57" w:val="clear"/>
            <w:tcMar>
              <w:top w:type="dxa" w:w="80"/>
              <w:left w:type="dxa" w:w="100"/>
              <w:bottom w:type="dxa" w:w="80"/>
              <w:right w:type="dxa" w:w="100"/>
            </w:tcMar>
            <w:vAlign w:val="center"/>
          </w:tcPr>
          <w:p>
            <w:pPr>
              <w:jc w:val="left"/>
            </w:pPr>
            <w:r>
              <w:rPr>
                <w:b/>
                <w:bCs/>
                <w:color w:val="FFFFFF"/>
                <w:sz w:val="19"/>
                <w:szCs w:val="19"/>
              </w:rPr>
              <w:t xml:space="preserve">Transactions</w:t>
            </w:r>
          </w:p>
        </w:tc>
        <w:tc>
          <w:tcPr>
            <w:tcW w:type="dxa" w:w="2300"/>
            <w:shd w:fill="1F3B57" w:val="clear"/>
            <w:tcMar>
              <w:top w:type="dxa" w:w="80"/>
              <w:left w:type="dxa" w:w="100"/>
              <w:bottom w:type="dxa" w:w="80"/>
              <w:right w:type="dxa" w:w="100"/>
            </w:tcMar>
            <w:vAlign w:val="center"/>
          </w:tcPr>
          <w:p>
            <w:pPr>
              <w:jc w:val="left"/>
            </w:pPr>
            <w:r>
              <w:rPr>
                <w:b/>
                <w:bCs/>
                <w:color w:val="FFFFFF"/>
                <w:sz w:val="19"/>
                <w:szCs w:val="19"/>
              </w:rPr>
              <w:t xml:space="preserve">Total Revenue</w:t>
            </w:r>
          </w:p>
        </w:tc>
        <w:tc>
          <w:tcPr>
            <w:tcW w:type="dxa" w:w="2100"/>
            <w:shd w:fill="1F3B57" w:val="clear"/>
            <w:tcMar>
              <w:top w:type="dxa" w:w="80"/>
              <w:left w:type="dxa" w:w="100"/>
              <w:bottom w:type="dxa" w:w="80"/>
              <w:right w:type="dxa" w:w="100"/>
            </w:tcMar>
            <w:vAlign w:val="center"/>
          </w:tcPr>
          <w:p>
            <w:pPr>
              <w:jc w:val="left"/>
            </w:pPr>
            <w:r>
              <w:rPr>
                <w:b/>
                <w:bCs/>
                <w:color w:val="FFFFFF"/>
                <w:sz w:val="19"/>
                <w:szCs w:val="19"/>
              </w:rPr>
              <w:t xml:space="preserve">Avg. Purchase</w:t>
            </w:r>
          </w:p>
        </w:tc>
        <w:tc>
          <w:tcPr>
            <w:tcW w:type="dxa" w:w="1900"/>
            <w:shd w:fill="1F3B57" w:val="clear"/>
            <w:tcMar>
              <w:top w:type="dxa" w:w="80"/>
              <w:left w:type="dxa" w:w="100"/>
              <w:bottom w:type="dxa" w:w="80"/>
              <w:right w:type="dxa" w:w="100"/>
            </w:tcMar>
            <w:vAlign w:val="center"/>
          </w:tcPr>
          <w:p>
            <w:pPr>
              <w:jc w:val="left"/>
            </w:pPr>
            <w:r>
              <w:rPr>
                <w:b/>
                <w:bCs/>
                <w:color w:val="FFFFFF"/>
                <w:sz w:val="19"/>
                <w:szCs w:val="19"/>
              </w:rPr>
              <w:t xml:space="preserve">% of Revenue</w:t>
            </w:r>
          </w:p>
        </w:tc>
      </w:tr>
      <w:tr>
        <w:tc>
          <w:tcPr>
            <w:tcW w:type="dxa" w:w="2500"/>
            <w:tcMar>
              <w:top w:type="dxa" w:w="70"/>
              <w:left w:type="dxa" w:w="100"/>
              <w:bottom w:type="dxa" w:w="70"/>
              <w:right w:type="dxa" w:w="100"/>
            </w:tcMar>
            <w:vAlign w:val="center"/>
          </w:tcPr>
          <w:p>
            <w:pPr>
              <w:jc w:val="left"/>
            </w:pPr>
            <w:r>
              <w:rPr>
                <w:b w:val="false"/>
                <w:bCs w:val="false"/>
                <w:color w:val="222222"/>
                <w:sz w:val="20"/>
                <w:szCs w:val="20"/>
              </w:rPr>
              <w:t xml:space="preserve">Clothing</w:t>
            </w:r>
          </w:p>
        </w:tc>
        <w:tc>
          <w:tcPr>
            <w:tcW w:type="dxa" w:w="2100"/>
            <w:tcMar>
              <w:top w:type="dxa" w:w="70"/>
              <w:left w:type="dxa" w:w="100"/>
              <w:bottom w:type="dxa" w:w="70"/>
              <w:right w:type="dxa" w:w="100"/>
            </w:tcMar>
            <w:vAlign w:val="center"/>
          </w:tcPr>
          <w:p>
            <w:pPr>
              <w:jc w:val="center"/>
            </w:pPr>
            <w:r>
              <w:rPr>
                <w:b w:val="false"/>
                <w:bCs w:val="false"/>
                <w:color w:val="222222"/>
                <w:sz w:val="20"/>
                <w:szCs w:val="20"/>
              </w:rPr>
              <w:t xml:space="preserve">1,737</w:t>
            </w:r>
          </w:p>
        </w:tc>
        <w:tc>
          <w:tcPr>
            <w:tcW w:type="dxa" w:w="2300"/>
            <w:tcMar>
              <w:top w:type="dxa" w:w="70"/>
              <w:left w:type="dxa" w:w="100"/>
              <w:bottom w:type="dxa" w:w="70"/>
              <w:right w:type="dxa" w:w="100"/>
            </w:tcMar>
            <w:vAlign w:val="center"/>
          </w:tcPr>
          <w:p>
            <w:pPr>
              <w:jc w:val="center"/>
            </w:pPr>
            <w:r>
              <w:rPr>
                <w:b w:val="false"/>
                <w:bCs w:val="false"/>
                <w:color w:val="222222"/>
                <w:sz w:val="20"/>
                <w:szCs w:val="20"/>
              </w:rPr>
              <w:t xml:space="preserve">$104,264</w:t>
            </w:r>
          </w:p>
        </w:tc>
        <w:tc>
          <w:tcPr>
            <w:tcW w:type="dxa" w:w="2100"/>
            <w:tcMar>
              <w:top w:type="dxa" w:w="70"/>
              <w:left w:type="dxa" w:w="100"/>
              <w:bottom w:type="dxa" w:w="70"/>
              <w:right w:type="dxa" w:w="100"/>
            </w:tcMar>
            <w:vAlign w:val="center"/>
          </w:tcPr>
          <w:p>
            <w:pPr>
              <w:jc w:val="center"/>
            </w:pPr>
            <w:r>
              <w:rPr>
                <w:b w:val="false"/>
                <w:bCs w:val="false"/>
                <w:color w:val="222222"/>
                <w:sz w:val="20"/>
                <w:szCs w:val="20"/>
              </w:rPr>
              <w:t xml:space="preserve">$60.03</w:t>
            </w:r>
          </w:p>
        </w:tc>
        <w:tc>
          <w:tcPr>
            <w:tcW w:type="dxa" w:w="1900"/>
            <w:tcMar>
              <w:top w:type="dxa" w:w="70"/>
              <w:left w:type="dxa" w:w="100"/>
              <w:bottom w:type="dxa" w:w="70"/>
              <w:right w:type="dxa" w:w="100"/>
            </w:tcMar>
            <w:vAlign w:val="center"/>
          </w:tcPr>
          <w:p>
            <w:pPr>
              <w:jc w:val="center"/>
            </w:pPr>
            <w:r>
              <w:rPr>
                <w:b w:val="false"/>
                <w:bCs w:val="false"/>
                <w:color w:val="222222"/>
                <w:sz w:val="20"/>
                <w:szCs w:val="20"/>
              </w:rPr>
              <w:t xml:space="preserve">44.7%</w:t>
            </w:r>
          </w:p>
        </w:tc>
      </w:tr>
      <w:tr>
        <w:tc>
          <w:tcPr>
            <w:tcW w:type="dxa" w:w="2500"/>
            <w:shd w:fill="F2F2F2" w:val="clear"/>
            <w:tcMar>
              <w:top w:type="dxa" w:w="70"/>
              <w:left w:type="dxa" w:w="100"/>
              <w:bottom w:type="dxa" w:w="70"/>
              <w:right w:type="dxa" w:w="100"/>
            </w:tcMar>
            <w:vAlign w:val="center"/>
          </w:tcPr>
          <w:p>
            <w:pPr>
              <w:jc w:val="left"/>
            </w:pPr>
            <w:r>
              <w:rPr>
                <w:b w:val="false"/>
                <w:bCs w:val="false"/>
                <w:color w:val="222222"/>
                <w:sz w:val="20"/>
                <w:szCs w:val="20"/>
              </w:rPr>
              <w:t xml:space="preserve">Accessories</w:t>
            </w:r>
          </w:p>
        </w:tc>
        <w:tc>
          <w:tcPr>
            <w:tcW w:type="dxa" w:w="21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1,240</w:t>
            </w:r>
          </w:p>
        </w:tc>
        <w:tc>
          <w:tcPr>
            <w:tcW w:type="dxa" w:w="23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$74,200</w:t>
            </w:r>
          </w:p>
        </w:tc>
        <w:tc>
          <w:tcPr>
            <w:tcW w:type="dxa" w:w="21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$59.84</w:t>
            </w:r>
          </w:p>
        </w:tc>
        <w:tc>
          <w:tcPr>
            <w:tcW w:type="dxa" w:w="19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31.8%</w:t>
            </w:r>
          </w:p>
        </w:tc>
      </w:tr>
      <w:tr>
        <w:tc>
          <w:tcPr>
            <w:tcW w:type="dxa" w:w="2500"/>
            <w:tcMar>
              <w:top w:type="dxa" w:w="70"/>
              <w:left w:type="dxa" w:w="100"/>
              <w:bottom w:type="dxa" w:w="70"/>
              <w:right w:type="dxa" w:w="100"/>
            </w:tcMar>
            <w:vAlign w:val="center"/>
          </w:tcPr>
          <w:p>
            <w:pPr>
              <w:jc w:val="left"/>
            </w:pPr>
            <w:r>
              <w:rPr>
                <w:b w:val="false"/>
                <w:bCs w:val="false"/>
                <w:color w:val="222222"/>
                <w:sz w:val="20"/>
                <w:szCs w:val="20"/>
              </w:rPr>
              <w:t xml:space="preserve">Footwear</w:t>
            </w:r>
          </w:p>
        </w:tc>
        <w:tc>
          <w:tcPr>
            <w:tcW w:type="dxa" w:w="2100"/>
            <w:tcMar>
              <w:top w:type="dxa" w:w="70"/>
              <w:left w:type="dxa" w:w="100"/>
              <w:bottom w:type="dxa" w:w="70"/>
              <w:right w:type="dxa" w:w="100"/>
            </w:tcMar>
            <w:vAlign w:val="center"/>
          </w:tcPr>
          <w:p>
            <w:pPr>
              <w:jc w:val="center"/>
            </w:pPr>
            <w:r>
              <w:rPr>
                <w:b w:val="false"/>
                <w:bCs w:val="false"/>
                <w:color w:val="222222"/>
                <w:sz w:val="20"/>
                <w:szCs w:val="20"/>
              </w:rPr>
              <w:t xml:space="preserve">599</w:t>
            </w:r>
          </w:p>
        </w:tc>
        <w:tc>
          <w:tcPr>
            <w:tcW w:type="dxa" w:w="2300"/>
            <w:tcMar>
              <w:top w:type="dxa" w:w="70"/>
              <w:left w:type="dxa" w:w="100"/>
              <w:bottom w:type="dxa" w:w="70"/>
              <w:right w:type="dxa" w:w="100"/>
            </w:tcMar>
            <w:vAlign w:val="center"/>
          </w:tcPr>
          <w:p>
            <w:pPr>
              <w:jc w:val="center"/>
            </w:pPr>
            <w:r>
              <w:rPr>
                <w:b w:val="false"/>
                <w:bCs w:val="false"/>
                <w:color w:val="222222"/>
                <w:sz w:val="20"/>
                <w:szCs w:val="20"/>
              </w:rPr>
              <w:t xml:space="preserve">$36,093</w:t>
            </w:r>
          </w:p>
        </w:tc>
        <w:tc>
          <w:tcPr>
            <w:tcW w:type="dxa" w:w="2100"/>
            <w:tcMar>
              <w:top w:type="dxa" w:w="70"/>
              <w:left w:type="dxa" w:w="100"/>
              <w:bottom w:type="dxa" w:w="70"/>
              <w:right w:type="dxa" w:w="100"/>
            </w:tcMar>
            <w:vAlign w:val="center"/>
          </w:tcPr>
          <w:p>
            <w:pPr>
              <w:jc w:val="center"/>
            </w:pPr>
            <w:r>
              <w:rPr>
                <w:b w:val="false"/>
                <w:bCs w:val="false"/>
                <w:color w:val="222222"/>
                <w:sz w:val="20"/>
                <w:szCs w:val="20"/>
              </w:rPr>
              <w:t xml:space="preserve">$60.26</w:t>
            </w:r>
          </w:p>
        </w:tc>
        <w:tc>
          <w:tcPr>
            <w:tcW w:type="dxa" w:w="1900"/>
            <w:tcMar>
              <w:top w:type="dxa" w:w="70"/>
              <w:left w:type="dxa" w:w="100"/>
              <w:bottom w:type="dxa" w:w="70"/>
              <w:right w:type="dxa" w:w="100"/>
            </w:tcMar>
            <w:vAlign w:val="center"/>
          </w:tcPr>
          <w:p>
            <w:pPr>
              <w:jc w:val="center"/>
            </w:pPr>
            <w:r>
              <w:rPr>
                <w:b w:val="false"/>
                <w:bCs w:val="false"/>
                <w:color w:val="222222"/>
                <w:sz w:val="20"/>
                <w:szCs w:val="20"/>
              </w:rPr>
              <w:t xml:space="preserve">15.5%</w:t>
            </w:r>
          </w:p>
        </w:tc>
      </w:tr>
      <w:tr>
        <w:tc>
          <w:tcPr>
            <w:tcW w:type="dxa" w:w="2500"/>
            <w:shd w:fill="F2F2F2" w:val="clear"/>
            <w:tcMar>
              <w:top w:type="dxa" w:w="70"/>
              <w:left w:type="dxa" w:w="100"/>
              <w:bottom w:type="dxa" w:w="70"/>
              <w:right w:type="dxa" w:w="100"/>
            </w:tcMar>
            <w:vAlign w:val="center"/>
          </w:tcPr>
          <w:p>
            <w:pPr>
              <w:jc w:val="left"/>
            </w:pPr>
            <w:r>
              <w:rPr>
                <w:b w:val="false"/>
                <w:bCs w:val="false"/>
                <w:color w:val="222222"/>
                <w:sz w:val="20"/>
                <w:szCs w:val="20"/>
              </w:rPr>
              <w:t xml:space="preserve">Outerwear</w:t>
            </w:r>
          </w:p>
        </w:tc>
        <w:tc>
          <w:tcPr>
            <w:tcW w:type="dxa" w:w="21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324</w:t>
            </w:r>
          </w:p>
        </w:tc>
        <w:tc>
          <w:tcPr>
            <w:tcW w:type="dxa" w:w="23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$18,524</w:t>
            </w:r>
          </w:p>
        </w:tc>
        <w:tc>
          <w:tcPr>
            <w:tcW w:type="dxa" w:w="21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$57.17</w:t>
            </w:r>
          </w:p>
        </w:tc>
        <w:tc>
          <w:tcPr>
            <w:tcW w:type="dxa" w:w="19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7.9%</w:t>
            </w:r>
          </w:p>
        </w:tc>
      </w:tr>
    </w:tbl>
    <w:p>
      <w:pPr>
        <w:spacing w:after="240" w:before="60"/>
        <w:jc w:val="center"/>
      </w:pPr>
      <w:r>
        <w:rPr>
          <w:i/>
          <w:iCs/>
          <w:color w:val="595959"/>
          <w:sz w:val="18"/>
          <w:szCs w:val="18"/>
        </w:rPr>
        <w:t xml:space="preserve">Table 3. Clothing and Accessories together drive 76.5% of total revenue.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100"/>
      </w:tblGrid>
      <w:tr>
        <w:trPr>
          <w:tblHeader/>
        </w:trPr>
        <w:tc>
          <w:tcPr>
            <w:tcW w:type="dxa" w:w="2600"/>
            <w:shd w:fill="1F3B57" w:val="clear"/>
            <w:tcMar>
              <w:top w:type="dxa" w:w="80"/>
              <w:left w:type="dxa" w:w="100"/>
              <w:bottom w:type="dxa" w:w="80"/>
              <w:right w:type="dxa" w:w="100"/>
            </w:tcMar>
            <w:vAlign w:val="center"/>
          </w:tcPr>
          <w:p>
            <w:pPr>
              <w:jc w:val="left"/>
            </w:pPr>
            <w:r>
              <w:rPr>
                <w:b/>
                <w:bCs/>
                <w:color w:val="FFFFFF"/>
                <w:sz w:val="19"/>
                <w:szCs w:val="19"/>
              </w:rPr>
              <w:t xml:space="preserve">Season</w:t>
            </w:r>
          </w:p>
        </w:tc>
        <w:tc>
          <w:tcPr>
            <w:tcW w:type="dxa" w:w="2600"/>
            <w:shd w:fill="1F3B57" w:val="clear"/>
            <w:tcMar>
              <w:top w:type="dxa" w:w="80"/>
              <w:left w:type="dxa" w:w="100"/>
              <w:bottom w:type="dxa" w:w="80"/>
              <w:right w:type="dxa" w:w="100"/>
            </w:tcMar>
            <w:vAlign w:val="center"/>
          </w:tcPr>
          <w:p>
            <w:pPr>
              <w:jc w:val="left"/>
            </w:pPr>
            <w:r>
              <w:rPr>
                <w:b/>
                <w:bCs/>
                <w:color w:val="FFFFFF"/>
                <w:sz w:val="19"/>
                <w:szCs w:val="19"/>
              </w:rPr>
              <w:t xml:space="preserve">Transactions</w:t>
            </w:r>
          </w:p>
        </w:tc>
        <w:tc>
          <w:tcPr>
            <w:tcW w:type="dxa" w:w="2600"/>
            <w:shd w:fill="1F3B57" w:val="clear"/>
            <w:tcMar>
              <w:top w:type="dxa" w:w="80"/>
              <w:left w:type="dxa" w:w="100"/>
              <w:bottom w:type="dxa" w:w="80"/>
              <w:right w:type="dxa" w:w="100"/>
            </w:tcMar>
            <w:vAlign w:val="center"/>
          </w:tcPr>
          <w:p>
            <w:pPr>
              <w:jc w:val="left"/>
            </w:pPr>
            <w:r>
              <w:rPr>
                <w:b/>
                <w:bCs/>
                <w:color w:val="FFFFFF"/>
                <w:sz w:val="19"/>
                <w:szCs w:val="19"/>
              </w:rPr>
              <w:t xml:space="preserve">Revenue</w:t>
            </w:r>
          </w:p>
        </w:tc>
        <w:tc>
          <w:tcPr>
            <w:tcW w:type="dxa" w:w="2100"/>
            <w:shd w:fill="1F3B57" w:val="clear"/>
            <w:tcMar>
              <w:top w:type="dxa" w:w="80"/>
              <w:left w:type="dxa" w:w="100"/>
              <w:bottom w:type="dxa" w:w="80"/>
              <w:right w:type="dxa" w:w="100"/>
            </w:tcMar>
            <w:vAlign w:val="center"/>
          </w:tcPr>
          <w:p>
            <w:pPr>
              <w:jc w:val="left"/>
            </w:pPr>
            <w:r>
              <w:rPr>
                <w:b/>
                <w:bCs/>
                <w:color w:val="FFFFFF"/>
                <w:sz w:val="19"/>
                <w:szCs w:val="19"/>
              </w:rPr>
              <w:t xml:space="preserve">Avg. Rating</w:t>
            </w:r>
          </w:p>
        </w:tc>
      </w:tr>
      <w:tr>
        <w:tc>
          <w:tcPr>
            <w:tcW w:type="dxa" w:w="2600"/>
            <w:tcMar>
              <w:top w:type="dxa" w:w="70"/>
              <w:left w:type="dxa" w:w="100"/>
              <w:bottom w:type="dxa" w:w="70"/>
              <w:right w:type="dxa" w:w="100"/>
            </w:tcMar>
            <w:vAlign w:val="center"/>
          </w:tcPr>
          <w:p>
            <w:pPr>
              <w:jc w:val="left"/>
            </w:pPr>
            <w:r>
              <w:rPr>
                <w:b w:val="false"/>
                <w:bCs w:val="false"/>
                <w:color w:val="222222"/>
                <w:sz w:val="20"/>
                <w:szCs w:val="20"/>
              </w:rPr>
              <w:t xml:space="preserve">Fall</w:t>
            </w:r>
          </w:p>
        </w:tc>
        <w:tc>
          <w:tcPr>
            <w:tcW w:type="dxa" w:w="2600"/>
            <w:tcMar>
              <w:top w:type="dxa" w:w="70"/>
              <w:left w:type="dxa" w:w="100"/>
              <w:bottom w:type="dxa" w:w="70"/>
              <w:right w:type="dxa" w:w="100"/>
            </w:tcMar>
            <w:vAlign w:val="center"/>
          </w:tcPr>
          <w:p>
            <w:pPr>
              <w:jc w:val="center"/>
            </w:pPr>
            <w:r>
              <w:rPr>
                <w:b w:val="false"/>
                <w:bCs w:val="false"/>
                <w:color w:val="222222"/>
                <w:sz w:val="20"/>
                <w:szCs w:val="20"/>
              </w:rPr>
              <w:t xml:space="preserve">975</w:t>
            </w:r>
          </w:p>
        </w:tc>
        <w:tc>
          <w:tcPr>
            <w:tcW w:type="dxa" w:w="2600"/>
            <w:tcMar>
              <w:top w:type="dxa" w:w="70"/>
              <w:left w:type="dxa" w:w="100"/>
              <w:bottom w:type="dxa" w:w="70"/>
              <w:right w:type="dxa" w:w="100"/>
            </w:tcMar>
            <w:vAlign w:val="center"/>
          </w:tcPr>
          <w:p>
            <w:pPr>
              <w:jc w:val="center"/>
            </w:pPr>
            <w:r>
              <w:rPr>
                <w:b w:val="false"/>
                <w:bCs w:val="false"/>
                <w:color w:val="222222"/>
                <w:sz w:val="20"/>
                <w:szCs w:val="20"/>
              </w:rPr>
              <w:t xml:space="preserve">$60,018</w:t>
            </w:r>
          </w:p>
        </w:tc>
        <w:tc>
          <w:tcPr>
            <w:tcW w:type="dxa" w:w="2100"/>
            <w:tcMar>
              <w:top w:type="dxa" w:w="70"/>
              <w:left w:type="dxa" w:w="100"/>
              <w:bottom w:type="dxa" w:w="70"/>
              <w:right w:type="dxa" w:w="100"/>
            </w:tcMar>
            <w:vAlign w:val="center"/>
          </w:tcPr>
          <w:p>
            <w:pPr>
              <w:jc w:val="center"/>
            </w:pPr>
            <w:r>
              <w:rPr>
                <w:b w:val="false"/>
                <w:bCs w:val="false"/>
                <w:color w:val="222222"/>
                <w:sz w:val="20"/>
                <w:szCs w:val="20"/>
              </w:rPr>
              <w:t xml:space="preserve">3.73</w:t>
            </w:r>
          </w:p>
        </w:tc>
      </w:tr>
      <w:tr>
        <w:tc>
          <w:tcPr>
            <w:tcW w:type="dxa" w:w="2600"/>
            <w:shd w:fill="F2F2F2" w:val="clear"/>
            <w:tcMar>
              <w:top w:type="dxa" w:w="70"/>
              <w:left w:type="dxa" w:w="100"/>
              <w:bottom w:type="dxa" w:w="70"/>
              <w:right w:type="dxa" w:w="100"/>
            </w:tcMar>
            <w:vAlign w:val="center"/>
          </w:tcPr>
          <w:p>
            <w:pPr>
              <w:jc w:val="left"/>
            </w:pPr>
            <w:r>
              <w:rPr>
                <w:b w:val="false"/>
                <w:bCs w:val="false"/>
                <w:color w:val="222222"/>
                <w:sz w:val="20"/>
                <w:szCs w:val="20"/>
              </w:rPr>
              <w:t xml:space="preserve">Spring</w:t>
            </w:r>
          </w:p>
        </w:tc>
        <w:tc>
          <w:tcPr>
            <w:tcW w:type="dxa" w:w="26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999</w:t>
            </w:r>
          </w:p>
        </w:tc>
        <w:tc>
          <w:tcPr>
            <w:tcW w:type="dxa" w:w="26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$58,679</w:t>
            </w:r>
          </w:p>
        </w:tc>
        <w:tc>
          <w:tcPr>
            <w:tcW w:type="dxa" w:w="21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3.79</w:t>
            </w:r>
          </w:p>
        </w:tc>
      </w:tr>
      <w:tr>
        <w:tc>
          <w:tcPr>
            <w:tcW w:type="dxa" w:w="2600"/>
            <w:tcMar>
              <w:top w:type="dxa" w:w="70"/>
              <w:left w:type="dxa" w:w="100"/>
              <w:bottom w:type="dxa" w:w="70"/>
              <w:right w:type="dxa" w:w="100"/>
            </w:tcMar>
            <w:vAlign w:val="center"/>
          </w:tcPr>
          <w:p>
            <w:pPr>
              <w:jc w:val="left"/>
            </w:pPr>
            <w:r>
              <w:rPr>
                <w:b w:val="false"/>
                <w:bCs w:val="false"/>
                <w:color w:val="222222"/>
                <w:sz w:val="20"/>
                <w:szCs w:val="20"/>
              </w:rPr>
              <w:t xml:space="preserve">Winter</w:t>
            </w:r>
          </w:p>
        </w:tc>
        <w:tc>
          <w:tcPr>
            <w:tcW w:type="dxa" w:w="2600"/>
            <w:tcMar>
              <w:top w:type="dxa" w:w="70"/>
              <w:left w:type="dxa" w:w="100"/>
              <w:bottom w:type="dxa" w:w="70"/>
              <w:right w:type="dxa" w:w="100"/>
            </w:tcMar>
            <w:vAlign w:val="center"/>
          </w:tcPr>
          <w:p>
            <w:pPr>
              <w:jc w:val="center"/>
            </w:pPr>
            <w:r>
              <w:rPr>
                <w:b w:val="false"/>
                <w:bCs w:val="false"/>
                <w:color w:val="222222"/>
                <w:sz w:val="20"/>
                <w:szCs w:val="20"/>
              </w:rPr>
              <w:t xml:space="preserve">971</w:t>
            </w:r>
          </w:p>
        </w:tc>
        <w:tc>
          <w:tcPr>
            <w:tcW w:type="dxa" w:w="2600"/>
            <w:tcMar>
              <w:top w:type="dxa" w:w="70"/>
              <w:left w:type="dxa" w:w="100"/>
              <w:bottom w:type="dxa" w:w="70"/>
              <w:right w:type="dxa" w:w="100"/>
            </w:tcMar>
            <w:vAlign w:val="center"/>
          </w:tcPr>
          <w:p>
            <w:pPr>
              <w:jc w:val="center"/>
            </w:pPr>
            <w:r>
              <w:rPr>
                <w:b w:val="false"/>
                <w:bCs w:val="false"/>
                <w:color w:val="222222"/>
                <w:sz w:val="20"/>
                <w:szCs w:val="20"/>
              </w:rPr>
              <w:t xml:space="preserve">$58,607</w:t>
            </w:r>
          </w:p>
        </w:tc>
        <w:tc>
          <w:tcPr>
            <w:tcW w:type="dxa" w:w="2100"/>
            <w:tcMar>
              <w:top w:type="dxa" w:w="70"/>
              <w:left w:type="dxa" w:w="100"/>
              <w:bottom w:type="dxa" w:w="70"/>
              <w:right w:type="dxa" w:w="100"/>
            </w:tcMar>
            <w:vAlign w:val="center"/>
          </w:tcPr>
          <w:p>
            <w:pPr>
              <w:jc w:val="center"/>
            </w:pPr>
            <w:r>
              <w:rPr>
                <w:b w:val="false"/>
                <w:bCs w:val="false"/>
                <w:color w:val="222222"/>
                <w:sz w:val="20"/>
                <w:szCs w:val="20"/>
              </w:rPr>
              <w:t xml:space="preserve">3.75</w:t>
            </w:r>
          </w:p>
        </w:tc>
      </w:tr>
      <w:tr>
        <w:tc>
          <w:tcPr>
            <w:tcW w:type="dxa" w:w="2600"/>
            <w:shd w:fill="F2F2F2" w:val="clear"/>
            <w:tcMar>
              <w:top w:type="dxa" w:w="70"/>
              <w:left w:type="dxa" w:w="100"/>
              <w:bottom w:type="dxa" w:w="70"/>
              <w:right w:type="dxa" w:w="100"/>
            </w:tcMar>
            <w:vAlign w:val="center"/>
          </w:tcPr>
          <w:p>
            <w:pPr>
              <w:jc w:val="left"/>
            </w:pPr>
            <w:r>
              <w:rPr>
                <w:b w:val="false"/>
                <w:bCs w:val="false"/>
                <w:color w:val="222222"/>
                <w:sz w:val="20"/>
                <w:szCs w:val="20"/>
              </w:rPr>
              <w:t xml:space="preserve">Summer</w:t>
            </w:r>
          </w:p>
        </w:tc>
        <w:tc>
          <w:tcPr>
            <w:tcW w:type="dxa" w:w="26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955</w:t>
            </w:r>
          </w:p>
        </w:tc>
        <w:tc>
          <w:tcPr>
            <w:tcW w:type="dxa" w:w="26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$55,777</w:t>
            </w:r>
          </w:p>
        </w:tc>
        <w:tc>
          <w:tcPr>
            <w:tcW w:type="dxa" w:w="21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3.73</w:t>
            </w:r>
          </w:p>
        </w:tc>
      </w:tr>
    </w:tbl>
    <w:p>
      <w:pPr>
        <w:spacing w:after="240" w:before="60"/>
        <w:jc w:val="center"/>
      </w:pPr>
      <w:r>
        <w:rPr>
          <w:i/>
          <w:iCs/>
          <w:color w:val="595959"/>
          <w:sz w:val="18"/>
          <w:szCs w:val="18"/>
        </w:rPr>
        <w:t xml:space="preserve">Table 4. Demand is fairly evenly spread across seasons — a ~7% gap between the strongest (Fall) and weakest (Summer) quarter.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100"/>
        <w:gridCol w:w="2400"/>
      </w:tblGrid>
      <w:tr>
        <w:trPr>
          <w:tblHeader/>
        </w:trPr>
        <w:tc>
          <w:tcPr>
            <w:tcW w:type="dxa" w:w="3000"/>
            <w:shd w:fill="1F3B57" w:val="clear"/>
            <w:tcMar>
              <w:top w:type="dxa" w:w="80"/>
              <w:left w:type="dxa" w:w="100"/>
              <w:bottom w:type="dxa" w:w="80"/>
              <w:right w:type="dxa" w:w="100"/>
            </w:tcMar>
            <w:vAlign w:val="center"/>
          </w:tcPr>
          <w:p>
            <w:pPr>
              <w:jc w:val="left"/>
            </w:pPr>
            <w:r>
              <w:rPr>
                <w:b/>
                <w:bCs/>
                <w:color w:val="FFFFFF"/>
                <w:sz w:val="19"/>
                <w:szCs w:val="19"/>
              </w:rPr>
              <w:t xml:space="preserve">Shipping Type</w:t>
            </w:r>
          </w:p>
        </w:tc>
        <w:tc>
          <w:tcPr>
            <w:tcW w:type="dxa" w:w="2400"/>
            <w:shd w:fill="1F3B57" w:val="clear"/>
            <w:tcMar>
              <w:top w:type="dxa" w:w="80"/>
              <w:left w:type="dxa" w:w="100"/>
              <w:bottom w:type="dxa" w:w="80"/>
              <w:right w:type="dxa" w:w="100"/>
            </w:tcMar>
            <w:vAlign w:val="center"/>
          </w:tcPr>
          <w:p>
            <w:pPr>
              <w:jc w:val="left"/>
            </w:pPr>
            <w:r>
              <w:rPr>
                <w:b/>
                <w:bCs/>
                <w:color w:val="FFFFFF"/>
                <w:sz w:val="19"/>
                <w:szCs w:val="19"/>
              </w:rPr>
              <w:t xml:space="preserve">Customers</w:t>
            </w:r>
          </w:p>
        </w:tc>
        <w:tc>
          <w:tcPr>
            <w:tcW w:type="dxa" w:w="2100"/>
            <w:shd w:fill="1F3B57" w:val="clear"/>
            <w:tcMar>
              <w:top w:type="dxa" w:w="80"/>
              <w:left w:type="dxa" w:w="100"/>
              <w:bottom w:type="dxa" w:w="80"/>
              <w:right w:type="dxa" w:w="100"/>
            </w:tcMar>
            <w:vAlign w:val="center"/>
          </w:tcPr>
          <w:p>
            <w:pPr>
              <w:jc w:val="left"/>
            </w:pPr>
            <w:r>
              <w:rPr>
                <w:b/>
                <w:bCs/>
                <w:color w:val="FFFFFF"/>
                <w:sz w:val="19"/>
                <w:szCs w:val="19"/>
              </w:rPr>
              <w:t xml:space="preserve">Avg. Rating</w:t>
            </w:r>
          </w:p>
        </w:tc>
        <w:tc>
          <w:tcPr>
            <w:tcW w:type="dxa" w:w="2400"/>
            <w:shd w:fill="1F3B57" w:val="clear"/>
            <w:tcMar>
              <w:top w:type="dxa" w:w="80"/>
              <w:left w:type="dxa" w:w="100"/>
              <w:bottom w:type="dxa" w:w="80"/>
              <w:right w:type="dxa" w:w="100"/>
            </w:tcMar>
            <w:vAlign w:val="center"/>
          </w:tcPr>
          <w:p>
            <w:pPr>
              <w:jc w:val="left"/>
            </w:pPr>
            <w:r>
              <w:rPr>
                <w:b/>
                <w:bCs/>
                <w:color w:val="FFFFFF"/>
                <w:sz w:val="19"/>
                <w:szCs w:val="19"/>
              </w:rPr>
              <w:t xml:space="preserve">Avg. Prior Purchases</w:t>
            </w:r>
          </w:p>
        </w:tc>
      </w:tr>
      <w:tr>
        <w:tc>
          <w:tcPr>
            <w:tcW w:type="dxa" w:w="3000"/>
            <w:tcMar>
              <w:top w:type="dxa" w:w="70"/>
              <w:left w:type="dxa" w:w="100"/>
              <w:bottom w:type="dxa" w:w="70"/>
              <w:right w:type="dxa" w:w="100"/>
            </w:tcMar>
            <w:vAlign w:val="center"/>
          </w:tcPr>
          <w:p>
            <w:pPr>
              <w:jc w:val="left"/>
            </w:pPr>
            <w:r>
              <w:rPr>
                <w:b w:val="false"/>
                <w:bCs w:val="false"/>
                <w:color w:val="222222"/>
                <w:sz w:val="20"/>
                <w:szCs w:val="20"/>
              </w:rPr>
              <w:t xml:space="preserve">Standard</w:t>
            </w:r>
          </w:p>
        </w:tc>
        <w:tc>
          <w:tcPr>
            <w:tcW w:type="dxa" w:w="2400"/>
            <w:tcMar>
              <w:top w:type="dxa" w:w="70"/>
              <w:left w:type="dxa" w:w="100"/>
              <w:bottom w:type="dxa" w:w="70"/>
              <w:right w:type="dxa" w:w="100"/>
            </w:tcMar>
            <w:vAlign w:val="center"/>
          </w:tcPr>
          <w:p>
            <w:pPr>
              <w:jc w:val="center"/>
            </w:pPr>
            <w:r>
              <w:rPr>
                <w:b w:val="false"/>
                <w:bCs w:val="false"/>
                <w:color w:val="222222"/>
                <w:sz w:val="20"/>
                <w:szCs w:val="20"/>
              </w:rPr>
              <w:t xml:space="preserve">654</w:t>
            </w:r>
          </w:p>
        </w:tc>
        <w:tc>
          <w:tcPr>
            <w:tcW w:type="dxa" w:w="2100"/>
            <w:tcMar>
              <w:top w:type="dxa" w:w="70"/>
              <w:left w:type="dxa" w:w="100"/>
              <w:bottom w:type="dxa" w:w="70"/>
              <w:right w:type="dxa" w:w="100"/>
            </w:tcMar>
            <w:vAlign w:val="center"/>
          </w:tcPr>
          <w:p>
            <w:pPr>
              <w:jc w:val="center"/>
            </w:pPr>
            <w:r>
              <w:rPr>
                <w:b w:val="false"/>
                <w:bCs w:val="false"/>
                <w:color w:val="222222"/>
                <w:sz w:val="20"/>
                <w:szCs w:val="20"/>
              </w:rPr>
              <w:t xml:space="preserve">3.82</w:t>
            </w:r>
          </w:p>
        </w:tc>
        <w:tc>
          <w:tcPr>
            <w:tcW w:type="dxa" w:w="2400"/>
            <w:tcMar>
              <w:top w:type="dxa" w:w="70"/>
              <w:left w:type="dxa" w:w="100"/>
              <w:bottom w:type="dxa" w:w="70"/>
              <w:right w:type="dxa" w:w="100"/>
            </w:tcMar>
            <w:vAlign w:val="center"/>
          </w:tcPr>
          <w:p>
            <w:pPr>
              <w:jc w:val="center"/>
            </w:pPr>
            <w:r>
              <w:rPr>
                <w:b w:val="false"/>
                <w:bCs w:val="false"/>
                <w:color w:val="222222"/>
                <w:sz w:val="20"/>
                <w:szCs w:val="20"/>
              </w:rPr>
              <w:t xml:space="preserve">26.23</w:t>
            </w:r>
          </w:p>
        </w:tc>
      </w:tr>
      <w:tr>
        <w:tc>
          <w:tcPr>
            <w:tcW w:type="dxa" w:w="3000"/>
            <w:shd w:fill="F2F2F2" w:val="clear"/>
            <w:tcMar>
              <w:top w:type="dxa" w:w="70"/>
              <w:left w:type="dxa" w:w="100"/>
              <w:bottom w:type="dxa" w:w="70"/>
              <w:right w:type="dxa" w:w="100"/>
            </w:tcMar>
            <w:vAlign w:val="center"/>
          </w:tcPr>
          <w:p>
            <w:pPr>
              <w:jc w:val="left"/>
            </w:pPr>
            <w:r>
              <w:rPr>
                <w:b w:val="false"/>
                <w:bCs w:val="false"/>
                <w:color w:val="222222"/>
                <w:sz w:val="20"/>
                <w:szCs w:val="20"/>
              </w:rPr>
              <w:t xml:space="preserve">Express</w:t>
            </w:r>
          </w:p>
        </w:tc>
        <w:tc>
          <w:tcPr>
            <w:tcW w:type="dxa" w:w="24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646</w:t>
            </w:r>
          </w:p>
        </w:tc>
        <w:tc>
          <w:tcPr>
            <w:tcW w:type="dxa" w:w="21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3.77</w:t>
            </w:r>
          </w:p>
        </w:tc>
        <w:tc>
          <w:tcPr>
            <w:tcW w:type="dxa" w:w="24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25.50</w:t>
            </w:r>
          </w:p>
        </w:tc>
      </w:tr>
      <w:tr>
        <w:tc>
          <w:tcPr>
            <w:tcW w:type="dxa" w:w="3000"/>
            <w:tcMar>
              <w:top w:type="dxa" w:w="70"/>
              <w:left w:type="dxa" w:w="100"/>
              <w:bottom w:type="dxa" w:w="70"/>
              <w:right w:type="dxa" w:w="100"/>
            </w:tcMar>
            <w:vAlign w:val="center"/>
          </w:tcPr>
          <w:p>
            <w:pPr>
              <w:jc w:val="left"/>
            </w:pPr>
            <w:r>
              <w:rPr>
                <w:b w:val="false"/>
                <w:bCs w:val="false"/>
                <w:color w:val="222222"/>
                <w:sz w:val="20"/>
                <w:szCs w:val="20"/>
              </w:rPr>
              <w:t xml:space="preserve">2-Day Shipping</w:t>
            </w:r>
          </w:p>
        </w:tc>
        <w:tc>
          <w:tcPr>
            <w:tcW w:type="dxa" w:w="2400"/>
            <w:tcMar>
              <w:top w:type="dxa" w:w="70"/>
              <w:left w:type="dxa" w:w="100"/>
              <w:bottom w:type="dxa" w:w="70"/>
              <w:right w:type="dxa" w:w="100"/>
            </w:tcMar>
            <w:vAlign w:val="center"/>
          </w:tcPr>
          <w:p>
            <w:pPr>
              <w:jc w:val="center"/>
            </w:pPr>
            <w:r>
              <w:rPr>
                <w:b w:val="false"/>
                <w:bCs w:val="false"/>
                <w:color w:val="222222"/>
                <w:sz w:val="20"/>
                <w:szCs w:val="20"/>
              </w:rPr>
              <w:t xml:space="preserve">627</w:t>
            </w:r>
          </w:p>
        </w:tc>
        <w:tc>
          <w:tcPr>
            <w:tcW w:type="dxa" w:w="2100"/>
            <w:tcMar>
              <w:top w:type="dxa" w:w="70"/>
              <w:left w:type="dxa" w:w="100"/>
              <w:bottom w:type="dxa" w:w="70"/>
              <w:right w:type="dxa" w:w="100"/>
            </w:tcMar>
            <w:vAlign w:val="center"/>
          </w:tcPr>
          <w:p>
            <w:pPr>
              <w:jc w:val="center"/>
            </w:pPr>
            <w:r>
              <w:rPr>
                <w:b w:val="false"/>
                <w:bCs w:val="false"/>
                <w:color w:val="222222"/>
                <w:sz w:val="20"/>
                <w:szCs w:val="20"/>
              </w:rPr>
              <w:t xml:space="preserve">3.77</w:t>
            </w:r>
          </w:p>
        </w:tc>
        <w:tc>
          <w:tcPr>
            <w:tcW w:type="dxa" w:w="2400"/>
            <w:tcMar>
              <w:top w:type="dxa" w:w="70"/>
              <w:left w:type="dxa" w:w="100"/>
              <w:bottom w:type="dxa" w:w="70"/>
              <w:right w:type="dxa" w:w="100"/>
            </w:tcMar>
            <w:vAlign w:val="center"/>
          </w:tcPr>
          <w:p>
            <w:pPr>
              <w:jc w:val="center"/>
            </w:pPr>
            <w:r>
              <w:rPr>
                <w:b w:val="false"/>
                <w:bCs w:val="false"/>
                <w:color w:val="222222"/>
                <w:sz w:val="20"/>
                <w:szCs w:val="20"/>
              </w:rPr>
              <w:t xml:space="preserve">26.11</w:t>
            </w:r>
          </w:p>
        </w:tc>
      </w:tr>
      <w:tr>
        <w:tc>
          <w:tcPr>
            <w:tcW w:type="dxa" w:w="3000"/>
            <w:shd w:fill="F2F2F2" w:val="clear"/>
            <w:tcMar>
              <w:top w:type="dxa" w:w="70"/>
              <w:left w:type="dxa" w:w="100"/>
              <w:bottom w:type="dxa" w:w="70"/>
              <w:right w:type="dxa" w:w="100"/>
            </w:tcMar>
            <w:vAlign w:val="center"/>
          </w:tcPr>
          <w:p>
            <w:pPr>
              <w:jc w:val="left"/>
            </w:pPr>
            <w:r>
              <w:rPr>
                <w:b w:val="false"/>
                <w:bCs w:val="false"/>
                <w:color w:val="222222"/>
                <w:sz w:val="20"/>
                <w:szCs w:val="20"/>
              </w:rPr>
              <w:t xml:space="preserve">Next Day Air</w:t>
            </w:r>
          </w:p>
        </w:tc>
        <w:tc>
          <w:tcPr>
            <w:tcW w:type="dxa" w:w="24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648</w:t>
            </w:r>
          </w:p>
        </w:tc>
        <w:tc>
          <w:tcPr>
            <w:tcW w:type="dxa" w:w="21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3.72</w:t>
            </w:r>
          </w:p>
        </w:tc>
        <w:tc>
          <w:tcPr>
            <w:tcW w:type="dxa" w:w="24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24.77</w:t>
            </w:r>
          </w:p>
        </w:tc>
      </w:tr>
      <w:tr>
        <w:tc>
          <w:tcPr>
            <w:tcW w:type="dxa" w:w="3000"/>
            <w:tcMar>
              <w:top w:type="dxa" w:w="70"/>
              <w:left w:type="dxa" w:w="100"/>
              <w:bottom w:type="dxa" w:w="70"/>
              <w:right w:type="dxa" w:w="100"/>
            </w:tcMar>
            <w:vAlign w:val="center"/>
          </w:tcPr>
          <w:p>
            <w:pPr>
              <w:jc w:val="left"/>
            </w:pPr>
            <w:r>
              <w:rPr>
                <w:b w:val="false"/>
                <w:bCs w:val="false"/>
                <w:color w:val="222222"/>
                <w:sz w:val="20"/>
                <w:szCs w:val="20"/>
              </w:rPr>
              <w:t xml:space="preserve">Free Shipping</w:t>
            </w:r>
          </w:p>
        </w:tc>
        <w:tc>
          <w:tcPr>
            <w:tcW w:type="dxa" w:w="2400"/>
            <w:tcMar>
              <w:top w:type="dxa" w:w="70"/>
              <w:left w:type="dxa" w:w="100"/>
              <w:bottom w:type="dxa" w:w="70"/>
              <w:right w:type="dxa" w:w="100"/>
            </w:tcMar>
            <w:vAlign w:val="center"/>
          </w:tcPr>
          <w:p>
            <w:pPr>
              <w:jc w:val="center"/>
            </w:pPr>
            <w:r>
              <w:rPr>
                <w:b w:val="false"/>
                <w:bCs w:val="false"/>
                <w:color w:val="222222"/>
                <w:sz w:val="20"/>
                <w:szCs w:val="20"/>
              </w:rPr>
              <w:t xml:space="preserve">675</w:t>
            </w:r>
          </w:p>
        </w:tc>
        <w:tc>
          <w:tcPr>
            <w:tcW w:type="dxa" w:w="2100"/>
            <w:tcMar>
              <w:top w:type="dxa" w:w="70"/>
              <w:left w:type="dxa" w:w="100"/>
              <w:bottom w:type="dxa" w:w="70"/>
              <w:right w:type="dxa" w:w="100"/>
            </w:tcMar>
            <w:vAlign w:val="center"/>
          </w:tcPr>
          <w:p>
            <w:pPr>
              <w:jc w:val="center"/>
            </w:pPr>
            <w:r>
              <w:rPr>
                <w:b w:val="false"/>
                <w:bCs w:val="false"/>
                <w:color w:val="222222"/>
                <w:sz w:val="20"/>
                <w:szCs w:val="20"/>
              </w:rPr>
              <w:t xml:space="preserve">3.72</w:t>
            </w:r>
          </w:p>
        </w:tc>
        <w:tc>
          <w:tcPr>
            <w:tcW w:type="dxa" w:w="2400"/>
            <w:tcMar>
              <w:top w:type="dxa" w:w="70"/>
              <w:left w:type="dxa" w:w="100"/>
              <w:bottom w:type="dxa" w:w="70"/>
              <w:right w:type="dxa" w:w="100"/>
            </w:tcMar>
            <w:vAlign w:val="center"/>
          </w:tcPr>
          <w:p>
            <w:pPr>
              <w:jc w:val="center"/>
            </w:pPr>
            <w:r>
              <w:rPr>
                <w:b w:val="false"/>
                <w:bCs w:val="false"/>
                <w:color w:val="222222"/>
                <w:sz w:val="20"/>
                <w:szCs w:val="20"/>
              </w:rPr>
              <w:t xml:space="preserve">24.74</w:t>
            </w:r>
          </w:p>
        </w:tc>
      </w:tr>
      <w:tr>
        <w:tc>
          <w:tcPr>
            <w:tcW w:type="dxa" w:w="3000"/>
            <w:shd w:fill="F2F2F2" w:val="clear"/>
            <w:tcMar>
              <w:top w:type="dxa" w:w="70"/>
              <w:left w:type="dxa" w:w="100"/>
              <w:bottom w:type="dxa" w:w="70"/>
              <w:right w:type="dxa" w:w="100"/>
            </w:tcMar>
            <w:vAlign w:val="center"/>
          </w:tcPr>
          <w:p>
            <w:pPr>
              <w:jc w:val="left"/>
            </w:pPr>
            <w:r>
              <w:rPr>
                <w:b w:val="false"/>
                <w:bCs w:val="false"/>
                <w:color w:val="222222"/>
                <w:sz w:val="20"/>
                <w:szCs w:val="20"/>
              </w:rPr>
              <w:t xml:space="preserve">Store Pickup</w:t>
            </w:r>
          </w:p>
        </w:tc>
        <w:tc>
          <w:tcPr>
            <w:tcW w:type="dxa" w:w="24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650</w:t>
            </w:r>
          </w:p>
        </w:tc>
        <w:tc>
          <w:tcPr>
            <w:tcW w:type="dxa" w:w="21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3.71</w:t>
            </w:r>
          </w:p>
        </w:tc>
        <w:tc>
          <w:tcPr>
            <w:tcW w:type="dxa" w:w="2400"/>
            <w:shd w:fill="F2F2F2" w:val="clear"/>
            <w:tcMar>
              <w:top w:type="dxa" w:w="70"/>
              <w:left w:type="dxa" w:w="100"/>
              <w:bottom w:type="dxa" w:w="70"/>
              <w:right w:type="dxa" w:w="100"/>
            </w:tcMar>
            <w:vAlign w:val="center"/>
          </w:tcPr>
          <w:p>
            <w:pPr>
              <w:jc w:val="center"/>
            </w:pPr>
            <w:r>
              <w:rPr>
                <w:b w:val="false"/>
                <w:bCs w:val="false"/>
                <w:color w:val="222222"/>
                <w:sz w:val="20"/>
                <w:szCs w:val="20"/>
              </w:rPr>
              <w:t xml:space="preserve">24.80</w:t>
            </w:r>
          </w:p>
        </w:tc>
      </w:tr>
    </w:tbl>
    <w:p>
      <w:pPr>
        <w:spacing w:after="240" w:before="60"/>
        <w:jc w:val="center"/>
      </w:pPr>
      <w:r>
        <w:rPr>
          <w:i/>
          <w:iCs/>
          <w:color w:val="595959"/>
          <w:sz w:val="18"/>
          <w:szCs w:val="18"/>
        </w:rPr>
        <w:t xml:space="preserve">Table 5. Standard and 2-Day shipping post the highest satisfaction and repeat-purchase depth; Store Pickup is the weakest fulfillment path.</w:t>
      </w:r>
    </w:p>
    <w:p>
      <w:pPr>
        <w:pStyle w:val="Heading2"/>
        <w:spacing w:after="120" w:before="280"/>
      </w:pPr>
      <w:r>
        <w:rPr>
          <w:b/>
          <w:bCs/>
          <w:color w:val="2E8B8B"/>
          <w:sz w:val="24"/>
          <w:szCs w:val="24"/>
        </w:rPr>
        <w:t xml:space="preserve">3.4 High-Frequency Loyal Segment</w:t>
      </w:r>
    </w:p>
    <w:p>
      <w:pPr>
        <w:pBdr>
          <w:top w:val="single" w:color="CCCCCC" w:sz="4"/>
          <w:bottom w:val="single" w:color="CCCCCC" w:sz="4"/>
          <w:left w:val="single" w:color="CCCCCC" w:sz="4"/>
          <w:right w:val="single" w:color="CCCCCC" w:sz="4"/>
        </w:pBdr>
        <w:shd w:fill="F5F5F5" w:val="clear"/>
        <w:spacing w:after="200" w:before="80"/>
      </w:pPr>
      <w:r>
        <w:rPr>
          <w:rFonts w:ascii="Consolas" w:cs="Consolas" w:eastAsia="Consolas" w:hAnsi="Consolas"/>
          <w:color w:val="1F1F1F"/>
          <w:sz w:val="18"/>
          <w:szCs w:val="18"/>
        </w:rPr>
        <w:t xml:space="preserve">SELECT COUNT(*) AS loyal_customers,</w:t>
      </w:r>
      <w:r>
        <w:rPr>
          <w:rFonts w:ascii="Consolas" w:cs="Consolas" w:eastAsia="Consolas" w:hAnsi="Consolas"/>
          <w:color w:val="1F1F1F"/>
          <w:sz w:val="18"/>
          <w:szCs w:val="18"/>
        </w:rPr>
        <w:br/>
        <w:t xml:space="preserve">       ROUND(AVG(purchase_amount),2) AS avg_purchase,</w:t>
      </w:r>
      <w:r>
        <w:rPr>
          <w:rFonts w:ascii="Consolas" w:cs="Consolas" w:eastAsia="Consolas" w:hAnsi="Consolas"/>
          <w:color w:val="1F1F1F"/>
          <w:sz w:val="18"/>
          <w:szCs w:val="18"/>
        </w:rPr>
        <w:br/>
        <w:t xml:space="preserve">       ROUND(100.0*COUNT(*)/(SELECT COUNT(*) FROM customers),1) AS pct_of_base</w:t>
      </w:r>
      <w:r>
        <w:rPr>
          <w:rFonts w:ascii="Consolas" w:cs="Consolas" w:eastAsia="Consolas" w:hAnsi="Consolas"/>
          <w:color w:val="1F1F1F"/>
          <w:sz w:val="18"/>
          <w:szCs w:val="18"/>
        </w:rPr>
        <w:br/>
        <w:t xml:space="preserve">FROM customers WHERE previous_purchases &gt; 30;</w:t>
      </w:r>
    </w:p>
    <w:p>
      <w:pPr>
        <w:spacing w:after="160" w:line="276"/>
      </w:pPr>
      <w:r>
        <w:rPr>
          <w:color w:val="222222"/>
          <w:sz w:val="22"/>
          <w:szCs w:val="22"/>
        </w:rPr>
        <w:t xml:space="preserve">Result: 1,549 customers (39.7% of the base) have more than 30 previous purchases, at an average basket of $60.03 — in line with the overall average. This group represents the company's largest single lever for retention-focused campaigns.</w:t>
      </w:r>
    </w:p>
    <w:p>
      <w:pPr>
        <w:pStyle w:val="Heading1"/>
        <w:pBdr>
          <w:bottom w:val="single" w:color="1F3B57" w:sz="8" w:space="4"/>
        </w:pBdr>
        <w:spacing w:after="160" w:before="360"/>
      </w:pPr>
      <w:r>
        <w:rPr>
          <w:b/>
          <w:bCs/>
          <w:color w:val="1F3B57"/>
          <w:sz w:val="30"/>
          <w:szCs w:val="30"/>
        </w:rPr>
        <w:t xml:space="preserve">4. Visualization &amp; Insights (Power BI)</w:t>
      </w:r>
    </w:p>
    <w:p>
      <w:pPr>
        <w:spacing w:after="160" w:line="276"/>
      </w:pPr>
      <w:r>
        <w:rPr>
          <w:color w:val="222222"/>
          <w:sz w:val="22"/>
          <w:szCs w:val="22"/>
        </w:rPr>
        <w:t xml:space="preserve">The interactive dashboard (Customer_Behaviour_Dashboard.pbix, included in the repository) is built around KPI cards for Number of Customers, Average Review Rating, and Average Purchase Amount, plus slicers for Subscription Status, Gender, Category, and Shipping Type so stakeholders can filter every visual live. The core visuals — recreated below from the underlying data — are Revenue/Sales by Category, Revenue/Sales by Age Group, and the Subscription Status split.</w:t>
      </w:r>
    </w:p>
    <w:p>
      <w:pPr>
        <w:spacing w:after="40" w:before="120"/>
        <w:jc w:val="center"/>
      </w:pPr>
      <w:r>
        <w:drawing>
          <wp:inline distT="0" distB="0" distL="0" distR="0">
            <wp:extent cx="5397500" cy="33216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97500" cy="3321685"/>
                    </a:xfrm>
                    <a:prstGeom prst="rect">
                      <a:avLst/>
                    </a:prstGeom>
                  </pic:spPr>
                </pic:pic>
              </a:graphicData>
            </a:graphic>
          </wp:inline>
        </w:drawing>
      </w:r>
    </w:p>
    <w:p>
      <w:pPr>
        <w:spacing w:after="240" w:before="60"/>
        <w:jc w:val="center"/>
      </w:pPr>
      <w:r>
        <w:rPr>
          <w:i/>
          <w:iCs/>
          <w:color w:val="595959"/>
          <w:sz w:val="18"/>
          <w:szCs w:val="18"/>
        </w:rPr>
        <w:t xml:space="preserve">Figure 1. Revenue by Category — mirrors the dashboard's “Revenue by Category” column chart.</w:t>
      </w:r>
    </w:p>
    <w:p>
      <w:pPr>
        <w:spacing w:after="40" w:before="120"/>
        <w:jc w:val="center"/>
      </w:pPr>
      <w:r>
        <w:drawing>
          <wp:inline distT="0" distB="0" distL="0" distR="0">
            <wp:extent cx="5397500" cy="33216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7500" cy="3321685"/>
                    </a:xfrm>
                    <a:prstGeom prst="rect">
                      <a:avLst/>
                    </a:prstGeom>
                  </pic:spPr>
                </pic:pic>
              </a:graphicData>
            </a:graphic>
          </wp:inline>
        </w:drawing>
      </w:r>
    </w:p>
    <w:p>
      <w:pPr>
        <w:spacing w:after="240" w:before="60"/>
        <w:jc w:val="center"/>
      </w:pPr>
      <w:r>
        <w:rPr>
          <w:i/>
          <w:iCs/>
          <w:color w:val="595959"/>
          <w:sz w:val="18"/>
          <w:szCs w:val="18"/>
        </w:rPr>
        <w:t xml:space="preserve">Figure 2. Revenue by Age Group — mirrors the dashboard's “Revenue By Age Group” bar chart.</w:t>
      </w:r>
    </w:p>
    <w:p>
      <w:pPr>
        <w:spacing w:after="40" w:before="120"/>
        <w:jc w:val="center"/>
      </w:pPr>
      <w:r>
        <w:drawing>
          <wp:inline distT="0" distB="0" distL="0" distR="0">
            <wp:extent cx="5397500" cy="431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7500" cy="4318000"/>
                    </a:xfrm>
                    <a:prstGeom prst="rect">
                      <a:avLst/>
                    </a:prstGeom>
                  </pic:spPr>
                </pic:pic>
              </a:graphicData>
            </a:graphic>
          </wp:inline>
        </w:drawing>
      </w:r>
    </w:p>
    <w:p>
      <w:pPr>
        <w:spacing w:after="240" w:before="60"/>
        <w:jc w:val="center"/>
      </w:pPr>
      <w:r>
        <w:rPr>
          <w:i/>
          <w:iCs/>
          <w:color w:val="595959"/>
          <w:sz w:val="18"/>
          <w:szCs w:val="18"/>
        </w:rPr>
        <w:t xml:space="preserve">Figure 3. Customers by Subscription Status — mirrors the dashboard's donut chart (72.3% not subscribed, 27.0% subscribed).</w:t>
      </w:r>
    </w:p>
    <w:p>
      <w:pPr>
        <w:spacing w:after="40" w:before="120"/>
        <w:jc w:val="center"/>
      </w:pPr>
      <w:r>
        <w:drawing>
          <wp:inline distT="0" distB="0" distL="0" distR="0">
            <wp:extent cx="5397500" cy="33216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7500" cy="3321685"/>
                    </a:xfrm>
                    <a:prstGeom prst="rect">
                      <a:avLst/>
                    </a:prstGeom>
                  </pic:spPr>
                </pic:pic>
              </a:graphicData>
            </a:graphic>
          </wp:inline>
        </w:drawing>
      </w:r>
    </w:p>
    <w:p>
      <w:pPr>
        <w:spacing w:after="240" w:before="60"/>
        <w:jc w:val="center"/>
      </w:pPr>
      <w:r>
        <w:rPr>
          <w:i/>
          <w:iCs/>
          <w:color w:val="595959"/>
          <w:sz w:val="18"/>
          <w:szCs w:val="18"/>
        </w:rPr>
        <w:t xml:space="preserve">Figure 4. Transactions by Payment Method — supporting detail behind the dashboard's payment-method breakdown.</w:t>
      </w:r>
    </w:p>
    <w:p>
      <w:pPr>
        <w:pStyle w:val="Heading1"/>
        <w:pBdr>
          <w:bottom w:val="single" w:color="1F3B57" w:sz="8" w:space="4"/>
        </w:pBdr>
        <w:spacing w:after="160" w:before="360"/>
      </w:pPr>
      <w:r>
        <w:rPr>
          <w:b/>
          <w:bCs/>
          <w:color w:val="1F3B57"/>
          <w:sz w:val="30"/>
          <w:szCs w:val="30"/>
        </w:rPr>
        <w:t xml:space="preserve">5. Key Findings</w:t>
      </w:r>
    </w:p>
    <w:p>
      <w:pPr>
        <w:pStyle w:val="ListParagraph"/>
        <w:numPr>
          <w:ilvl w:val="0"/>
          <w:numId w:val="1"/>
        </w:numPr>
        <w:spacing w:after="90"/>
      </w:pPr>
      <w:r>
        <w:rPr>
          <w:b/>
          <w:bCs/>
          <w:color w:val="1F3B57"/>
          <w:sz w:val="22"/>
          <w:szCs w:val="22"/>
        </w:rPr>
        <w:t xml:space="preserve">Spending is uniform, not segment-driven. </w:t>
      </w:r>
      <w:r>
        <w:rPr>
          <w:color w:val="222222"/>
          <w:sz w:val="22"/>
          <w:szCs w:val="22"/>
        </w:rPr>
        <w:t xml:space="preserve">Average basket size ($57–$61) and satisfaction (3.7–3.8) barely move across age, gender, subscription, or payment method — aggregate revenue differences are explained by segment size, not by any group spending meaningfully more per visit.</w:t>
      </w:r>
    </w:p>
    <w:p>
      <w:pPr>
        <w:pStyle w:val="ListParagraph"/>
        <w:numPr>
          <w:ilvl w:val="0"/>
          <w:numId w:val="1"/>
        </w:numPr>
        <w:spacing w:after="90"/>
      </w:pPr>
      <w:r>
        <w:rPr>
          <w:b/>
          <w:bCs/>
          <w:color w:val="1F3B57"/>
          <w:sz w:val="22"/>
          <w:szCs w:val="22"/>
        </w:rPr>
        <w:t xml:space="preserve">Category concentration. </w:t>
      </w:r>
      <w:r>
        <w:rPr>
          <w:color w:val="222222"/>
          <w:sz w:val="22"/>
          <w:szCs w:val="22"/>
        </w:rPr>
        <w:t xml:space="preserve">Clothing (44.7%) and Accessories (31.8%) together generate 76.5% of all revenue; Footwear and Outerwear are secondary categories.</w:t>
      </w:r>
    </w:p>
    <w:p>
      <w:pPr>
        <w:pStyle w:val="ListParagraph"/>
        <w:numPr>
          <w:ilvl w:val="0"/>
          <w:numId w:val="1"/>
        </w:numPr>
        <w:spacing w:after="90"/>
      </w:pPr>
      <w:r>
        <w:rPr>
          <w:b/>
          <w:bCs/>
          <w:color w:val="1F3B57"/>
          <w:sz w:val="22"/>
          <w:szCs w:val="22"/>
        </w:rPr>
        <w:t xml:space="preserve">Loyalty runs deep but flat. </w:t>
      </w:r>
      <w:r>
        <w:rPr>
          <w:color w:val="222222"/>
          <w:sz w:val="22"/>
          <w:szCs w:val="22"/>
        </w:rPr>
        <w:t xml:space="preserve">39.7% of customers (1,549) have made 30+ previous purchases, showing a large repeat-buyer core — but this group's basket size ($60.03) is no higher than the company average, so loyalty currently shows up as frequency, not bigger baskets.</w:t>
      </w:r>
    </w:p>
    <w:p>
      <w:pPr>
        <w:pStyle w:val="ListParagraph"/>
        <w:numPr>
          <w:ilvl w:val="0"/>
          <w:numId w:val="1"/>
        </w:numPr>
        <w:spacing w:after="90"/>
      </w:pPr>
      <w:r>
        <w:rPr>
          <w:b/>
          <w:bCs/>
          <w:color w:val="1F3B57"/>
          <w:sz w:val="22"/>
          <w:szCs w:val="22"/>
        </w:rPr>
        <w:t xml:space="preserve">Subscriptions and discounts show a soft, not strong, loyalty lift. </w:t>
      </w:r>
      <w:r>
        <w:rPr>
          <w:color w:val="222222"/>
          <w:sz w:val="22"/>
          <w:szCs w:val="22"/>
        </w:rPr>
        <w:t xml:space="preserve">Subscribers and discount users have modestly higher previous-purchase counts (+1.0 and +0.68 respectively) but not larger baskets — discount users in fact spend $0.85 less per transaction on average.</w:t>
      </w:r>
    </w:p>
    <w:p>
      <w:pPr>
        <w:pStyle w:val="ListParagraph"/>
        <w:numPr>
          <w:ilvl w:val="0"/>
          <w:numId w:val="1"/>
        </w:numPr>
        <w:spacing w:after="90"/>
      </w:pPr>
      <w:r>
        <w:rPr>
          <w:b/>
          <w:bCs/>
          <w:color w:val="1F3B57"/>
          <w:sz w:val="22"/>
          <w:szCs w:val="22"/>
        </w:rPr>
        <w:t xml:space="preserve">Fulfillment experience affects satisfaction. </w:t>
      </w:r>
      <w:r>
        <w:rPr>
          <w:color w:val="222222"/>
          <w:sz w:val="22"/>
          <w:szCs w:val="22"/>
        </w:rPr>
        <w:t xml:space="preserve">Standard and 2-Day Shipping post the highest ratings (3.82 / 3.77) and repeat-purchase depth, while Store Pickup is the lowest-rated channel (3.71).</w:t>
      </w:r>
    </w:p>
    <w:p>
      <w:pPr>
        <w:pStyle w:val="ListParagraph"/>
        <w:numPr>
          <w:ilvl w:val="0"/>
          <w:numId w:val="1"/>
        </w:numPr>
        <w:spacing w:after="90"/>
      </w:pPr>
      <w:r>
        <w:rPr>
          <w:b/>
          <w:bCs/>
          <w:color w:val="1F3B57"/>
          <w:sz w:val="22"/>
          <w:szCs w:val="22"/>
        </w:rPr>
        <w:t xml:space="preserve">Mild seasonality. </w:t>
      </w:r>
      <w:r>
        <w:rPr>
          <w:color w:val="222222"/>
          <w:sz w:val="22"/>
          <w:szCs w:val="22"/>
        </w:rPr>
        <w:t xml:space="preserve">Fall is the strongest quarter ($60,018) and Summer the weakest ($55,777), a ~7% swing — not a sharp seasonal cliff, but enough to plan around.</w:t>
      </w:r>
    </w:p>
    <w:p>
      <w:pPr>
        <w:pStyle w:val="ListParagraph"/>
        <w:numPr>
          <w:ilvl w:val="0"/>
          <w:numId w:val="1"/>
        </w:numPr>
        <w:spacing w:after="90"/>
      </w:pPr>
      <w:r>
        <w:rPr>
          <w:b/>
          <w:bCs/>
          <w:color w:val="1F3B57"/>
          <w:sz w:val="22"/>
          <w:szCs w:val="22"/>
        </w:rPr>
        <w:t xml:space="preserve">No payment-channel risk. </w:t>
      </w:r>
      <w:r>
        <w:rPr>
          <w:color w:val="222222"/>
          <w:sz w:val="22"/>
          <w:szCs w:val="22"/>
        </w:rPr>
        <w:t xml:space="preserve">All six payment methods sit within a narrow 612–677 transaction band, so there is no single point of checkout dependency.</w:t>
      </w:r>
    </w:p>
    <w:p>
      <w:pPr>
        <w:pStyle w:val="ListParagraph"/>
        <w:numPr>
          <w:ilvl w:val="0"/>
          <w:numId w:val="1"/>
        </w:numPr>
        <w:spacing w:after="90"/>
      </w:pPr>
      <w:r>
        <w:rPr>
          <w:b/>
          <w:bCs/>
          <w:color w:val="1F3B57"/>
          <w:sz w:val="22"/>
          <w:szCs w:val="22"/>
        </w:rPr>
        <w:t xml:space="preserve">Geography is dispersed. </w:t>
      </w:r>
      <w:r>
        <w:rPr>
          <w:color w:val="222222"/>
          <w:sz w:val="22"/>
          <w:szCs w:val="22"/>
        </w:rPr>
        <w:t xml:space="preserve">The top 5 revenue-generating states (Montana, Illinois, California, Idaho, Nevada) are within a tight $200–300 band of each other — no single region dominates.</w:t>
      </w:r>
    </w:p>
    <w:p>
      <w:pPr>
        <w:pStyle w:val="Heading1"/>
        <w:pBdr>
          <w:bottom w:val="single" w:color="1F3B57" w:sz="8" w:space="4"/>
        </w:pBdr>
        <w:spacing w:after="160" w:before="360"/>
      </w:pPr>
      <w:r>
        <w:rPr>
          <w:b/>
          <w:bCs/>
          <w:color w:val="1F3B57"/>
          <w:sz w:val="30"/>
          <w:szCs w:val="30"/>
        </w:rPr>
        <w:t xml:space="preserve">6. Business Recommendations</w:t>
      </w:r>
    </w:p>
    <w:p>
      <w:pPr>
        <w:pStyle w:val="ListParagraph"/>
        <w:numPr>
          <w:ilvl w:val="0"/>
          <w:numId w:val="1"/>
        </w:numPr>
        <w:spacing w:after="90"/>
      </w:pPr>
      <w:r>
        <w:rPr>
          <w:b/>
          <w:bCs/>
          <w:color w:val="1F3B57"/>
          <w:sz w:val="22"/>
          <w:szCs w:val="22"/>
        </w:rPr>
        <w:t xml:space="preserve">Protect and grow the core categories. </w:t>
      </w:r>
      <w:r>
        <w:rPr>
          <w:color w:val="222222"/>
          <w:sz w:val="22"/>
          <w:szCs w:val="22"/>
        </w:rPr>
        <w:t xml:space="preserve">Prioritize Clothing and Accessories in merchandising, inventory planning, and campaign spend, since they already carry 76.5% of revenue.</w:t>
      </w:r>
    </w:p>
    <w:p>
      <w:pPr>
        <w:pStyle w:val="ListParagraph"/>
        <w:numPr>
          <w:ilvl w:val="0"/>
          <w:numId w:val="1"/>
        </w:numPr>
        <w:spacing w:after="90"/>
      </w:pPr>
      <w:r>
        <w:rPr>
          <w:b/>
          <w:bCs/>
          <w:color w:val="1F3B57"/>
          <w:sz w:val="22"/>
          <w:szCs w:val="22"/>
        </w:rPr>
        <w:t xml:space="preserve">Shift from demographic to behavioral targeting. </w:t>
      </w:r>
      <w:r>
        <w:rPr>
          <w:color w:val="222222"/>
          <w:sz w:val="22"/>
          <w:szCs w:val="22"/>
        </w:rPr>
        <w:t xml:space="preserve">Because age, gender, and payment method don't meaningfully predict spend, replace broad demographic offers with targeting based on purchase frequency and previous-purchase count, where the (small) real signal actually lives.</w:t>
      </w:r>
    </w:p>
    <w:p>
      <w:pPr>
        <w:pStyle w:val="ListParagraph"/>
        <w:numPr>
          <w:ilvl w:val="0"/>
          <w:numId w:val="1"/>
        </w:numPr>
        <w:spacing w:after="90"/>
      </w:pPr>
      <w:r>
        <w:rPr>
          <w:b/>
          <w:bCs/>
          <w:color w:val="1F3B57"/>
          <w:sz w:val="22"/>
          <w:szCs w:val="22"/>
        </w:rPr>
        <w:t xml:space="preserve">Convert non-subscribers deliberately. </w:t>
      </w:r>
      <w:r>
        <w:rPr>
          <w:color w:val="222222"/>
          <w:sz w:val="22"/>
          <w:szCs w:val="22"/>
        </w:rPr>
        <w:t xml:space="preserve">73% of customers (2,847) are not subscribed. A structured subscription push — even one that only lifts this group's engagement to match current subscribers — would meaningfully grow repeat-visit frequency.</w:t>
      </w:r>
    </w:p>
    <w:p>
      <w:pPr>
        <w:pStyle w:val="ListParagraph"/>
        <w:numPr>
          <w:ilvl w:val="0"/>
          <w:numId w:val="1"/>
        </w:numPr>
        <w:spacing w:after="90"/>
      </w:pPr>
      <w:r>
        <w:rPr>
          <w:b/>
          <w:bCs/>
          <w:color w:val="1F3B57"/>
          <w:sz w:val="22"/>
          <w:szCs w:val="22"/>
        </w:rPr>
        <w:t xml:space="preserve">Audit discount ROI. </w:t>
      </w:r>
      <w:r>
        <w:rPr>
          <w:color w:val="222222"/>
          <w:sz w:val="22"/>
          <w:szCs w:val="22"/>
        </w:rPr>
        <w:t xml:space="preserve">Since discount users show a slightly lower average basket, test whether current promo codes are driving incremental purchases or simply subsidizing sales that would have happened anyway; consider narrower, time-boxed offers instead of broad, always-on discounts.</w:t>
      </w:r>
    </w:p>
    <w:p>
      <w:pPr>
        <w:pStyle w:val="ListParagraph"/>
        <w:numPr>
          <w:ilvl w:val="0"/>
          <w:numId w:val="1"/>
        </w:numPr>
        <w:spacing w:after="90"/>
      </w:pPr>
      <w:r>
        <w:rPr>
          <w:b/>
          <w:bCs/>
          <w:color w:val="1F3B57"/>
          <w:sz w:val="22"/>
          <w:szCs w:val="22"/>
        </w:rPr>
        <w:t xml:space="preserve">Invest in fulfillment quality. </w:t>
      </w:r>
      <w:r>
        <w:rPr>
          <w:color w:val="222222"/>
          <w:sz w:val="22"/>
          <w:szCs w:val="22"/>
        </w:rPr>
        <w:t xml:space="preserve">Expand or promote Standard and 2-Day Shipping, and investigate the causes of lower satisfaction in the Store Pickup experience.</w:t>
      </w:r>
    </w:p>
    <w:p>
      <w:pPr>
        <w:pStyle w:val="ListParagraph"/>
        <w:numPr>
          <w:ilvl w:val="0"/>
          <w:numId w:val="1"/>
        </w:numPr>
        <w:spacing w:after="90"/>
      </w:pPr>
      <w:r>
        <w:rPr>
          <w:b/>
          <w:bCs/>
          <w:color w:val="1F3B57"/>
          <w:sz w:val="22"/>
          <w:szCs w:val="22"/>
        </w:rPr>
        <w:t xml:space="preserve">Plan light seasonal campaigns. </w:t>
      </w:r>
      <w:r>
        <w:rPr>
          <w:color w:val="222222"/>
          <w:sz w:val="22"/>
          <w:szCs w:val="22"/>
        </w:rPr>
        <w:t xml:space="preserve">Use Fall momentum as a template and add modest promotional support in Summer to close the ~7% seasonal gap.</w:t>
      </w:r>
    </w:p>
    <w:p>
      <w:pPr>
        <w:pStyle w:val="ListParagraph"/>
        <w:numPr>
          <w:ilvl w:val="0"/>
          <w:numId w:val="1"/>
        </w:numPr>
        <w:spacing w:after="90"/>
      </w:pPr>
      <w:r>
        <w:rPr>
          <w:b/>
          <w:bCs/>
          <w:color w:val="1F3B57"/>
          <w:sz w:val="22"/>
          <w:szCs w:val="22"/>
        </w:rPr>
        <w:t xml:space="preserve">Build a dedicated retention track for the loyal core. </w:t>
      </w:r>
      <w:r>
        <w:rPr>
          <w:color w:val="222222"/>
          <w:sz w:val="22"/>
          <w:szCs w:val="22"/>
        </w:rPr>
        <w:t xml:space="preserve">The 1,549 customers with 30+ previous purchases are the company's most durable relationship — prioritize them for loyalty perks, early access, and win-back campaigns to defend this base and look for ways to grow their basket size, not just their visit count.</w:t>
      </w:r>
    </w:p>
    <w:p>
      <w:pPr>
        <w:pStyle w:val="Heading1"/>
        <w:pBdr>
          <w:bottom w:val="single" w:color="1F3B57" w:sz="8" w:space="4"/>
        </w:pBdr>
        <w:spacing w:after="160" w:before="360"/>
      </w:pPr>
      <w:r>
        <w:rPr>
          <w:b/>
          <w:bCs/>
          <w:color w:val="1F3B57"/>
          <w:sz w:val="30"/>
          <w:szCs w:val="30"/>
        </w:rPr>
        <w:t xml:space="preserve">7. Project Repository &amp; Deliverables</w:t>
      </w:r>
    </w:p>
    <w:p>
      <w:pPr>
        <w:spacing w:after="160" w:line="276"/>
      </w:pPr>
      <w:r>
        <w:rPr>
          <w:color w:val="222222"/>
          <w:sz w:val="22"/>
          <w:szCs w:val="22"/>
        </w:rPr>
        <w:t xml:space="preserve">All project artifacts are version-controlled and available in the GitHub repository:</w:t>
      </w:r>
    </w:p>
    <w:p>
      <w:pPr>
        <w:spacing w:after="200"/>
      </w:pPr>
      <w:r>
        <w:rPr>
          <w:color w:val="2E8B8B"/>
          <w:u w:val="single"/>
        </w:rPr>
        <w:t xml:space="preserve">https://github.com/theaditya24/customer-trends-data-analysis-SQL-Python-PowerBI</w:t>
      </w:r>
    </w:p>
    <w:p>
      <w:pPr>
        <w:pStyle w:val="ListParagraph"/>
        <w:numPr>
          <w:ilvl w:val="0"/>
          <w:numId w:val="1"/>
        </w:numPr>
        <w:spacing w:after="90"/>
      </w:pPr>
      <w:r>
        <w:rPr>
          <w:b/>
          <w:bCs/>
          <w:color w:val="1F3B57"/>
          <w:sz w:val="22"/>
          <w:szCs w:val="22"/>
        </w:rPr>
        <w:t xml:space="preserve">Python: </w:t>
      </w:r>
      <w:r>
        <w:rPr>
          <w:color w:val="222222"/>
          <w:sz w:val="22"/>
          <w:szCs w:val="22"/>
        </w:rPr>
        <w:t xml:space="preserve">Customer Behaviour Analysis.ipynb — data cleaning, missing-value imputation, feature engineering, and SQL loading.</w:t>
      </w:r>
    </w:p>
    <w:p>
      <w:pPr>
        <w:pStyle w:val="ListParagraph"/>
        <w:numPr>
          <w:ilvl w:val="0"/>
          <w:numId w:val="1"/>
        </w:numPr>
        <w:spacing w:after="90"/>
      </w:pPr>
      <w:r>
        <w:rPr>
          <w:b/>
          <w:bCs/>
          <w:color w:val="1F3B57"/>
          <w:sz w:val="22"/>
          <w:szCs w:val="22"/>
        </w:rPr>
        <w:t xml:space="preserve">Data: </w:t>
      </w:r>
      <w:r>
        <w:rPr>
          <w:color w:val="222222"/>
          <w:sz w:val="22"/>
          <w:szCs w:val="22"/>
        </w:rPr>
        <w:t xml:space="preserve">customer_shopping_behavior.csv — the source dataset (3,900 rows × 18 columns).</w:t>
      </w:r>
    </w:p>
    <w:p>
      <w:pPr>
        <w:pStyle w:val="ListParagraph"/>
        <w:numPr>
          <w:ilvl w:val="0"/>
          <w:numId w:val="1"/>
        </w:numPr>
        <w:spacing w:after="90"/>
      </w:pPr>
      <w:r>
        <w:rPr>
          <w:b/>
          <w:bCs/>
          <w:color w:val="1F3B57"/>
          <w:sz w:val="22"/>
          <w:szCs w:val="22"/>
        </w:rPr>
        <w:t xml:space="preserve">SQL: </w:t>
      </w:r>
      <w:r>
        <w:rPr>
          <w:color w:val="222222"/>
          <w:sz w:val="22"/>
          <w:szCs w:val="22"/>
        </w:rPr>
        <w:t xml:space="preserve">Segment, loyalty, and purchase-driver queries against the cleaned customers table (Section 3 of this report).</w:t>
      </w:r>
    </w:p>
    <w:p>
      <w:pPr>
        <w:pStyle w:val="ListParagraph"/>
        <w:numPr>
          <w:ilvl w:val="0"/>
          <w:numId w:val="1"/>
        </w:numPr>
        <w:spacing w:after="90"/>
      </w:pPr>
      <w:r>
        <w:rPr>
          <w:b/>
          <w:bCs/>
          <w:color w:val="1F3B57"/>
          <w:sz w:val="22"/>
          <w:szCs w:val="22"/>
        </w:rPr>
        <w:t xml:space="preserve">Power BI: </w:t>
      </w:r>
      <w:r>
        <w:rPr>
          <w:color w:val="222222"/>
          <w:sz w:val="22"/>
          <w:szCs w:val="22"/>
        </w:rPr>
        <w:t xml:space="preserve">Customer_Behaviour_Dashboard.pbix — the interactive dashboard described in Section 4.</w:t>
      </w:r>
    </w:p>
    <w:p>
      <w:pPr>
        <w:pStyle w:val="ListParagraph"/>
        <w:numPr>
          <w:ilvl w:val="0"/>
          <w:numId w:val="1"/>
        </w:numPr>
        <w:spacing w:after="90"/>
      </w:pPr>
      <w:r>
        <w:rPr>
          <w:b/>
          <w:bCs/>
          <w:color w:val="1F3B57"/>
          <w:sz w:val="22"/>
          <w:szCs w:val="22"/>
        </w:rPr>
        <w:t xml:space="preserve">Report: </w:t>
      </w:r>
      <w:r>
        <w:rPr>
          <w:color w:val="222222"/>
          <w:sz w:val="22"/>
          <w:szCs w:val="22"/>
        </w:rPr>
        <w:t xml:space="preserve">This document — summarizing findings and recommendations for stakeholders.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a56b2d5340873359472c2b82ebf533183206bc.png"/><Relationship Id="rId8" Type="http://schemas.openxmlformats.org/officeDocument/2006/relationships/image" Target="media/a93b066f7a4391083ab7c76e0fb691a4b1738750.png"/><Relationship Id="rId9" Type="http://schemas.openxmlformats.org/officeDocument/2006/relationships/image" Target="media/47702e3b24a55b8321465baa36cacee847501902.png"/><Relationship Id="rId10" Type="http://schemas.openxmlformats.org/officeDocument/2006/relationships/image" Target="media/b6b7368f5a32b47474e619a5430be18e7e06636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2026-07-08T11:42:12.608Z</dcterms:created>
  <dcterms:modified xsi:type="dcterms:W3CDTF">2026-07-08T11:42:12.623Z</dcterms:modified>
</cp:coreProperties>
</file>

<file path=docProps/custom.xml><?xml version="1.0" encoding="utf-8"?>
<Properties xmlns="http://schemas.openxmlformats.org/officeDocument/2006/custom-properties" xmlns:vt="http://schemas.openxmlformats.org/officeDocument/2006/docPropsVTypes"/>
</file>