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U.S. Chip Firms Bet Big on R&amp;D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https://spectrum.ieee.org/semiconductor-research</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On 12 October Applied Materials unveiled a multi-billion dollar research facility in Sunnyvale, California, at the heart of Silicon Valley . The company first announced in 2023 plans to invest US $4 billion in its Equipment and Process Innovation and Commercialization (EPIC) Center, but now says it will invest even more: about $5 billion. The boost is part of a wider growth in private investment that is both enlarging the U.S. semiconductor R&amp;D sector and making it more complex. The EPIC announcement follows others, in August, by two semiconductor firms. Memory chip maker Micron disclosed that it would invest $10 billion over ten years at its Boise, ID, memory research lab, and SK hynix said it will spend $4 billion on an advanced packaging facility in West Lafayette, Indiana. (Neither of those companies responded to IEEE Spectrum’s questions about how much of those funds would be for R&amp;D.) The U.S. federal government has encouraged investment in U.S. semiconductor research by chip giants based in friendly nations, such as TSMC and Samsung. It has also enacted tariffs on foreign components and put some of its own money into faltering domestic chips companies including Intel . But t</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ectrum.ieee.org/semiconductor-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Chip Firms Bet Big on R&amp;D</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