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MEDICINA</w:t>
      </w:r>
    </w:p>
    <w:p>
      <w:pPr>
        <w:pStyle w:val="Heading1"/>
      </w:pPr>
      <w:r>
        <w:t>[PENDENTE] Two omicron variants replicate more efficiently in gut tissue models, experiments reveal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https://medicalxpress.com/news/2026-10-omicron-variants-replicate-efficiently-gut.html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Medical Xpress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 research team from the School of Public Health at the LKS Faculty of Medicine, the University of Hong Kong (HKUMed), has discovered that emerging omicron sublineages of SARS-CoV-2 use distinct biological strategies to spread and cause disease. Specifically, the XBB.1.5 and EG.5.1 variants are better adapted for respiratory spread and may pose a heightened risk of severe respiratory disease, while BA.2.86 and JN.1 tend to replicate more effectively in the intestines, potentially opening alternative transmission routes.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edicalxpress.com/news/2026-10-omicron-variants-replicate-efficiently-gu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 omicron variants replicate more efficiently in gut tissue models, experiments reveal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