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SOFTWARE</w:t>
      </w:r>
    </w:p>
    <w:p>
      <w:pPr>
        <w:pStyle w:val="Heading1"/>
      </w:pPr>
      <w:r>
        <w:t>[PENDENTE] AWS Will Run Its European Sovereign Cloud Without the Global Backbone for Several Hours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https://www.infoq.com/news/2026/10/aws-sovereign-cloud-exercise/?utm_campaign=infoq_content&amp;utm_source=infoq&amp;utm_medium=feed&amp;utm_term=global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InfoQ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>On October 24, AWS will operate its European Sovereign Cloud without a connection to the AWS Global Network backbone, with a team of EU residents and the region’s own hardware and software. AWS says neither of the two systems being severed is operation-critical, and practitioners are divided over whether the exercise answers the question customers are asking. By Steef-Jan Wiggers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nfoq.com/news/2026/10/aws-sovereign-cloud-exercise/?utm_campaign=infoq_content&amp;utm_source=infoq&amp;utm_medium=feed&amp;utm_term=glob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AWS Will Run Its European Sovereign Cloud Without the Global Backbone for Several Hours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