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ROBÓTICA</w:t>
      </w:r>
    </w:p>
    <w:p>
      <w:pPr>
        <w:pStyle w:val="Heading1"/>
      </w:pPr>
      <w:r>
        <w:t>[PENDENTE] Closing the reality gap: Why real-time execution has become the new competitive advantage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https://www.therobotreport.com/closing-reality-gap-why-real-time-execution-has-become-new-competitive-advantage/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The Robot Report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Daifuku's Cecile Dick-Calmes said success is no longer measured solely by automation density or equipment utilization. The post Closing the reality gap: Why real-time execution has become the new competitive advantage appeared first on The Robot Report 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herobotreport.com/closing-reality-gap-why-real-time-execution-has-become-new-competitive-advanta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Closing the reality gap: Why real-time execution has become the new competitive advantage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