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Solid-state cooling advances toward practical use, but challenges remain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https://techxplore.com/news/2026-10-solid-state-cooling-advances.html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Phys.org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As temperatures rise, the need for cooling is growing worldwide. Conventional cooling systems consume large amounts of electricity and use refrigerants with a high global warming potential. Caloric cooling could offer a sustainable alternative by using solid-state materials instead of conventional refrigerants. Researchers at Karlsruhe Institute of Technology (KIT), together with international partners, have analyzed the state of development of such systems.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chxplore.com/news/2026-10-solid-state-cooling-advanc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Solid-state cooling advances toward practical use, but challenges remain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