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Bacteria can alter the toxicity and affect the biosafety of nanomaterials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https://jornal.usp.br/uspnews/bacteria-can-alter-the-toxicity-and-affect-the-biosafety-of-nanomaterials/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Jornal da USP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Graphene-based materials have been explored for innovative technological applications in electronic devices, high-performance plastics, and biotechnology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rnal.usp.br/uspnews/bacteria-can-alter-the-toxicity-and-affect-the-biosafety-of-nanomateri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Bacteria can alter the toxicity and affect the biosafety of nanomaterials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