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Após vazamento, Smart Sampa exigirá reconhecimento facial para acessar câmeras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https://canaltech.com.br/mercado/apos-vazamento-smart-sampa-exigira-reconhecimento-facial-para-acessar-cameras/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Prefeitura de São Paulo anunciou a exigência de reconhecimento facial para os profissionais autorizados a acessar imagens e informações do Smart Sampa. A medida foi apresentada pelo prefeito Ricardo Nunes (MDB) na terça-feira (27), uma semana após a revelação de um vazamento de credenciais do sistema de vigilância. Segundo Nunes, a autenticação passou a valer naquele dia para agentes da Guarda Civil Metropolitana (GCM) e para os nove promotores que terão acesso à plataforma por meio de uma parceria com o Ministério Público de São Paulo (MPSP). A checagem identifica quem consulta o sistema. O Smart Sampa reúne câmeras públicas e privadas e usa reconhecimento facial para procurar pessoas em bases de foragidos e desaparecidos. A plataforma também identifica placas de veículos e emite alertas para as equipes de segurança. O que ficou exposto no vazamento Em 20 de outubro, o UOL revelou que um repositório público expôs informações restritas por cerca de 11 meses . O material incluía 181 logins e senhas, dados de mais de 6 mil agentes de segurança e instruções para reproduzir uma interface de acesso ao Smart Sampa. As credenciais permitiam consultar imagens de uma rede com mais de 58 m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mercado/apos-vazamento-smart-sampa-exigira-reconhecimento-facial-para-acessar-camer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Após vazamento, Smart Sampa exigirá reconhecimento facial para acessar câmeras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