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HARDWARE</w:t>
      </w:r>
    </w:p>
    <w:p>
      <w:pPr>
        <w:pStyle w:val="Heading1"/>
      </w:pPr>
      <w:r>
        <w:t>[PENDENTE] This week on Tom's Hardware Premium: October 10, 2026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https://www.tomshardware.com/tech-industry/this-week-on-toms-hardware-premium-october-10-2026-tencent-grabs-bargain-chips-qualcomm-huawei-ip-deal-groq-lawsuit-and-more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Tom's Hardware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This week on Tom's Hardware Premium, we covered how the AI buildout is affecting the industry supporting it across all axioms, including in law, chip design, manufacturing, and finance.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omshardware.com/tech-industry/this-week-on-toms-hardware-premium-october-10-2026-tencent-grabs-bargain-chips-qualcomm-huawei-ip-deal-groq-lawsuit-and-m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This week on Tom's Hardware Premium: October 10, 2026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