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Master AI Chip Principles With New IEEE Design Program</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https://spectrum.ieee.org/master-ai-chip-principles-ieee</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Today’s engineers face an unprecedented acceleration in AI hardware complexity, as explained in the recent research article “ Revisiting Edge AI: Opportunities and Challenges .” The article examines the rapid growth of edge AI and the challenges it creates, including resource constraints, model architecture limitations, and network demands across edge-AI deployments. The acceleration is driven by a fundamental shift in how modern AI models are built and scaled. As the models have become much larger and more complex, they are computationally more demanding because they contain more parameters and require more calculations. To meet the demands of scaling deep neural networks, the industry is increasingly developing AI chips that are designed for specific tasks. One major reason is that moving data between memory and the processor has become a major limitation on AI performance. The movement to confront the hardware bottleneck—the AI memory wall —has altered the trajectory of semiconductor innovation, shifting architectural priorities toward domain-specific accelerator platforms. No longer can engineers evaluate systems statically; they must master joint hardware design and network-al</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master-ai-chip-principles-ie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AI Chip Principles With New IEEE Design Program</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