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Fim da escala 6×1 divide impactos entre trabalhadores e empresas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https://jornal.usp.br/radio-usp/fim-da-escala-6-x-1-divide-impactos-entre-trabalhadores-e-empresas/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Jornal da USP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Mudança pode ampliar o tempo de descanso e melhorar o bem-estar dos profissionais, enquanto pequenos negócios enfrentam desafios para absorver os custos adicionais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rnal.usp.br/radio-usp/fim-da-escala-6-x-1-divide-impactos-entre-trabalhadores-e-empres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Fim da escala 6×1 divide impactos entre trabalhadores e empresas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