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HARDWARE</w:t>
      </w:r>
    </w:p>
    <w:p>
      <w:pPr>
        <w:pStyle w:val="Heading1"/>
      </w:pPr>
      <w:r>
        <w:t>[PENDENTE] We tested the RTX Spark Superchip in Microsoft's Surface Laptop Ultra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https://www.tomshardware.com/laptops/we-test-the-rtx-spark-superchip-in-microsofts-surface-laptop-ultra-nvidias-windows-on-arm-platform-impresses-in-local-ai-but-gaming-isnt-its-strong-suit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Tom's Hardware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We've tested Nvidia's RTX Spark against the latest and greatest from Apple and AMD to see how Nvidia's efforts to transform the PC for the agentic AI era stack up.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omshardware.com/laptops/we-test-the-rtx-spark-superchip-in-microsofts-surface-laptop-ultra-nvidias-windows-on-arm-platform-impresses-in-local-ai-but-gaming-isnt-its-strong-su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 tested the RTX Spark Superchip in Microsoft's Surface Laptop Ultra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