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46"/>
      </w:tblGrid>
      <w:tr>
        <w:tc>
          <w:tcPr>
            <w:tcW w:type="dxa" w:w="9746"/>
            <w:shd w:val="clear" w:color="auto" w:fill="FFF4CE"/>
          </w:tcPr>
          <w:p>
            <w:pPr>
              <w:jc w:val="center"/>
            </w:pPr>
            <w:r>
              <w:rPr>
                <w:b/>
                <w:color w:val="B00020"/>
              </w:rPr>
              <w:t>RASCUNHO — AGUARDANDO REVISÃO E APROVAÇÃO HUMANA</w:t>
            </w:r>
          </w:p>
        </w:tc>
      </w:tr>
    </w:tbl>
    <w:p>
      <w:r>
        <w:rPr>
          <w:b/>
          <w:color w:val="0B3D91"/>
          <w:sz w:val="20"/>
        </w:rPr>
        <w:t>ROBÓTICA</w:t>
      </w:r>
    </w:p>
    <w:p>
      <w:pPr>
        <w:pStyle w:val="Heading1"/>
      </w:pPr>
      <w:r>
        <w:t>[PENDENTE] Will ‘boring’ robots win in the real world? Why robotic form should follow workflow</w:t>
      </w:r>
    </w:p>
    <w:p>
      <w:r>
        <w:t>O artigo desta editoria não foi redigido automaticamente (status: falhou; motivo: claude-cli: Claude Code CLI não instalado (npm i -g @anthropic-ai/claude-code) | gemini: GEMINI_API_KEY não definida (crie grátis em https://aistudio.google.com/apikey)). Pauta sugerida para redação manual:</w:t>
      </w:r>
    </w:p>
    <w:tbl>
      <w:tblPr>
        <w:tblStyle w:val="TableGrid"/>
        <w:tblW w:type="auto" w:w="0"/>
        <w:tblLook w:firstColumn="1" w:firstRow="1" w:lastColumn="0" w:lastRow="0" w:noHBand="0" w:noVBand="1" w:val="04A0"/>
      </w:tblPr>
      <w:tblGrid>
        <w:gridCol w:w="4873"/>
        <w:gridCol w:w="4873"/>
      </w:tblGrid>
      <w:tr>
        <w:tc>
          <w:tcPr>
            <w:tcW w:type="dxa" w:w="2551"/>
            <w:shd w:val="clear" w:color="auto" w:fill="EAF0FA"/>
          </w:tcPr>
          <w:p>
            <w:r>
              <w:rPr>
                <w:b/>
              </w:rPr>
              <w:t>Matéria-fonte</w:t>
            </w:r>
          </w:p>
        </w:tc>
        <w:tc>
          <w:tcPr>
            <w:tcW w:type="dxa" w:w="6803"/>
          </w:tcPr>
          <w:p>
            <w:hyperlink r:id="rId9">
              <w:r>
                <w:rPr>
                  <w:color w:val="0B3D91"/>
                  <w:u w:val="single"/>
                </w:rPr>
                <w:t xml:space="preserve">https://www.therobotreport.com/will-boring-robots-win-in-the-real-world-why-robotic-form-should-follow-workflow/</w:t>
              </w:r>
            </w:hyperlink>
          </w:p>
        </w:tc>
      </w:tr>
      <w:tr>
        <w:tc>
          <w:tcPr>
            <w:tcW w:type="dxa" w:w="2551"/>
            <w:shd w:val="clear" w:color="auto" w:fill="EAF0FA"/>
          </w:tcPr>
          <w:p>
            <w:r>
              <w:rPr>
                <w:b/>
              </w:rPr>
              <w:t>Veículo</w:t>
            </w:r>
          </w:p>
        </w:tc>
        <w:tc>
          <w:tcPr>
            <w:tcW w:type="dxa" w:w="6803"/>
          </w:tcPr>
          <w:p>
            <w:r>
              <w:t>The Robot Report</w:t>
            </w:r>
          </w:p>
        </w:tc>
      </w:tr>
      <w:tr>
        <w:tc>
          <w:tcPr>
            <w:tcW w:type="dxa" w:w="2551"/>
            <w:shd w:val="clear" w:color="auto" w:fill="EAF0FA"/>
          </w:tcPr>
          <w:p>
            <w:r>
              <w:rPr>
                <w:b/>
              </w:rPr>
              <w:t>Resumo do feed</w:t>
            </w:r>
          </w:p>
        </w:tc>
        <w:tc>
          <w:tcPr>
            <w:tcW w:type="dxa" w:w="6803"/>
          </w:tcPr>
          <w:p>
            <w:r>
              <w:t>If we want to move physical AI from social media feeds to a sustained commercial level, we must reverse our current approach. The post Will ‘boring’ robots win in the real world? Why robotic form should follow workflow appeared first on The Robot Report .</w:t>
            </w:r>
          </w:p>
        </w:tc>
      </w:tr>
    </w:tbl>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therobotreport.com/will-boring-robots-win-in-the-real-world-why-robotic-form-should-follow-workflow/"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Will ‘boring’ robots win in the real world? Why robotic form should follow workflow</dc:title>
  <dc:subject/>
  <dc:creator>SciTekVision — agente editorial</dc:creator>
  <cp:keywords/>
  <dc:description>Rascunho gerado automaticamente; requer revisão humana.</dc:description>
  <cp:lastModifiedBy/>
  <cp:revision>1</cp:revision>
  <dcterms:created xsi:type="dcterms:W3CDTF">2013-12-23T23:15:00Z</dcterms:created>
  <dcterms:modified xsi:type="dcterms:W3CDTF">2013-12-23T23:15:00Z</dcterms:modified>
  <cp:category/>
</cp:coreProperties>
</file>