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ROBÓTICA</w:t>
      </w:r>
    </w:p>
    <w:p>
      <w:pPr>
        <w:pStyle w:val="Heading1"/>
      </w:pPr>
      <w:r>
        <w:t>[PENDENTE] The rise of the machines is canceled: Why humanoids with AI are helpers, not enemies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https://www.therobotreport.com/rise-machines-canceled-why-humanoids-ai-are-helpers-not-enemies/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The Robot Report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Humans play a key role in developing humanoid robots and training AI models, so we can maintain control, writes a columnist. The post The rise of the machines is canceled: Why humanoids with AI are helpers, not enemies appeared first on The Robot Report 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herobotreport.com/rise-machines-canceled-why-humanoids-ai-are-helpers-not-enemi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rise of the machines is canceled: Why humanoids with AI are helpers, not enemies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