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Taiwan targets illicit AI server exports to China with five-year prison terms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https://www.tomshardware.com/tech-industry/semiconductors/taiwan-targets-illicit-ai-server-exports-to-china-with-five-year-prison-terms-strict-new-controls-follow-us-tariff-deal-and-super-micro-raid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Taiwan is expanding the Foreign Trade Act to include AI servers and semiconductors in its list of controlled exports.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tech-industry/semiconductors/taiwan-targets-illicit-ai-server-exports-to-china-with-five-year-prison-terms-strict-new-controls-follow-us-tariff-deal-and-super-micro-ra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Taiwan targets illicit AI server exports to China with five-year prison terms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