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91"/>
          <w:sz w:val="72"/>
        </w:rPr>
        <w:t>SciTekVision</w:t>
      </w:r>
    </w:p>
    <w:p>
      <w:pPr>
        <w:jc w:val="center"/>
      </w:pPr>
      <w:r>
        <w:rPr>
          <w:sz w:val="28"/>
        </w:rPr>
        <w:t>Edição de 15/10/2026 — rascunhos para revisão</w:t>
      </w:r>
    </w:p>
    <w:p>
      <w:pPr>
        <w:jc w:val="center"/>
      </w:pPr>
      <w:r>
        <w:t>0 de 11 editorias com artigo redigido.</w:t>
      </w:r>
    </w:p>
    <w:p>
      <w:pPr>
        <w:pStyle w:val="Heading1"/>
      </w:pPr>
      <w:r>
        <w:t>Sumário</w:t>
      </w:r>
    </w:p>
    <w:tbl>
      <w:tblPr>
        <w:tblStyle w:val="TableGrid"/>
        <w:tblW w:type="auto" w:w="0"/>
        <w:tblLook w:firstColumn="1" w:firstRow="1" w:lastColumn="0" w:lastRow="0" w:noHBand="0" w:noVBand="1" w:val="04A0"/>
      </w:tblPr>
      <w:tblGrid>
        <w:gridCol w:w="2436"/>
        <w:gridCol w:w="2436"/>
        <w:gridCol w:w="2436"/>
        <w:gridCol w:w="2436"/>
      </w:tblGrid>
      <w:tr>
        <w:tc>
          <w:tcPr>
            <w:tcW w:type="dxa" w:w="567"/>
            <w:shd w:val="clear" w:color="auto" w:fill="EAF0FA"/>
          </w:tcPr>
          <w:p>
            <w:r>
              <w:rPr>
                <w:b/>
              </w:rPr>
              <w:t>#</w:t>
            </w:r>
          </w:p>
        </w:tc>
        <w:tc>
          <w:tcPr>
            <w:tcW w:type="dxa" w:w="2154"/>
            <w:shd w:val="clear" w:color="auto" w:fill="EAF0FA"/>
          </w:tcPr>
          <w:p>
            <w:r>
              <w:rPr>
                <w:b/>
              </w:rPr>
              <w:t>Editoria</w:t>
            </w:r>
          </w:p>
        </w:tc>
        <w:tc>
          <w:tcPr>
            <w:tcW w:type="dxa" w:w="5216"/>
            <w:shd w:val="clear" w:color="auto" w:fill="EAF0FA"/>
          </w:tcPr>
          <w:p>
            <w:r>
              <w:rPr>
                <w:b/>
              </w:rPr>
              <w:t>Título</w:t>
            </w:r>
          </w:p>
        </w:tc>
        <w:tc>
          <w:tcPr>
            <w:tcW w:type="dxa" w:w="1701"/>
            <w:shd w:val="clear" w:color="auto" w:fill="EAF0FA"/>
          </w:tcPr>
          <w:p>
            <w:r>
              <w:rPr>
                <w:b/>
              </w:rPr>
              <w:t>Status</w:t>
            </w:r>
          </w:p>
        </w:tc>
      </w:tr>
      <w:tr>
        <w:tc>
          <w:tcPr>
            <w:tcW w:type="dxa" w:w="567"/>
          </w:tcPr>
          <w:p>
            <w:r>
              <w:t>1</w:t>
            </w:r>
          </w:p>
        </w:tc>
        <w:tc>
          <w:tcPr>
            <w:tcW w:type="dxa" w:w="2154"/>
          </w:tcPr>
          <w:p>
            <w:r>
              <w:t>Medicina</w:t>
            </w:r>
          </w:p>
        </w:tc>
        <w:tc>
          <w:tcPr>
            <w:tcW w:type="dxa" w:w="5216"/>
          </w:tcPr>
          <w:p>
            <w:r>
              <w:t>Jawbone necrosis in advanced breast cancer: Study highlights the importance of oral health</w:t>
            </w:r>
          </w:p>
        </w:tc>
        <w:tc>
          <w:tcPr>
            <w:tcW w:type="dxa" w:w="1701"/>
          </w:tcPr>
          <w:p>
            <w:r>
              <w:t>PENDENTE (falhou)</w:t>
            </w:r>
          </w:p>
        </w:tc>
      </w:tr>
      <w:tr>
        <w:tc>
          <w:tcPr>
            <w:tcW w:type="dxa" w:w="567"/>
          </w:tcPr>
          <w:p>
            <w:r>
              <w:t>2</w:t>
            </w:r>
          </w:p>
        </w:tc>
        <w:tc>
          <w:tcPr>
            <w:tcW w:type="dxa" w:w="2154"/>
          </w:tcPr>
          <w:p>
            <w:r>
              <w:t>Biologia</w:t>
            </w:r>
          </w:p>
        </w:tc>
        <w:tc>
          <w:tcPr>
            <w:tcW w:type="dxa" w:w="5216"/>
          </w:tcPr>
          <w:p>
            <w:r>
              <w:t>DNA analysis uncovers first known genetic connection between rare New Caledonian plant and parasitic plant</w:t>
            </w:r>
          </w:p>
        </w:tc>
        <w:tc>
          <w:tcPr>
            <w:tcW w:type="dxa" w:w="1701"/>
          </w:tcPr>
          <w:p>
            <w:r>
              <w:t>PENDENTE (falhou)</w:t>
            </w:r>
          </w:p>
        </w:tc>
      </w:tr>
      <w:tr>
        <w:tc>
          <w:tcPr>
            <w:tcW w:type="dxa" w:w="567"/>
          </w:tcPr>
          <w:p>
            <w:r>
              <w:t>3</w:t>
            </w:r>
          </w:p>
        </w:tc>
        <w:tc>
          <w:tcPr>
            <w:tcW w:type="dxa" w:w="2154"/>
          </w:tcPr>
          <w:p>
            <w:r>
              <w:t>Robótica</w:t>
            </w:r>
          </w:p>
        </w:tc>
        <w:tc>
          <w:tcPr>
            <w:tcW w:type="dxa" w:w="5216"/>
          </w:tcPr>
          <w:p>
            <w:r>
              <w:t>Q&amp;A: Mars Perseverance Rover Sets a Distance Record</w:t>
            </w:r>
          </w:p>
        </w:tc>
        <w:tc>
          <w:tcPr>
            <w:tcW w:type="dxa" w:w="1701"/>
          </w:tcPr>
          <w:p>
            <w:r>
              <w:t>PENDENTE (falhou)</w:t>
            </w:r>
          </w:p>
        </w:tc>
      </w:tr>
      <w:tr>
        <w:tc>
          <w:tcPr>
            <w:tcW w:type="dxa" w:w="567"/>
          </w:tcPr>
          <w:p>
            <w:r>
              <w:t>4</w:t>
            </w:r>
          </w:p>
        </w:tc>
        <w:tc>
          <w:tcPr>
            <w:tcW w:type="dxa" w:w="2154"/>
          </w:tcPr>
          <w:p>
            <w:r>
              <w:t>Software</w:t>
            </w:r>
          </w:p>
        </w:tc>
        <w:tc>
          <w:tcPr>
            <w:tcW w:type="dxa" w:w="5216"/>
          </w:tcPr>
          <w:p>
            <w:r>
              <w:t>Tiny11 puts Windows 11 on a diet without the PowerShell workout</w:t>
            </w:r>
          </w:p>
        </w:tc>
        <w:tc>
          <w:tcPr>
            <w:tcW w:type="dxa" w:w="1701"/>
          </w:tcPr>
          <w:p>
            <w:r>
              <w:t>PENDENTE (falhou)</w:t>
            </w:r>
          </w:p>
        </w:tc>
      </w:tr>
      <w:tr>
        <w:tc>
          <w:tcPr>
            <w:tcW w:type="dxa" w:w="567"/>
          </w:tcPr>
          <w:p>
            <w:r>
              <w:t>5</w:t>
            </w:r>
          </w:p>
        </w:tc>
        <w:tc>
          <w:tcPr>
            <w:tcW w:type="dxa" w:w="2154"/>
          </w:tcPr>
          <w:p>
            <w:r>
              <w:t>Hardware</w:t>
            </w:r>
          </w:p>
        </w:tc>
        <w:tc>
          <w:tcPr>
            <w:tcW w:type="dxa" w:w="5216"/>
          </w:tcPr>
          <w:p>
            <w:r>
              <w:t>U.S. Chip Firms Bet Big on R&amp;D</w:t>
            </w:r>
          </w:p>
        </w:tc>
        <w:tc>
          <w:tcPr>
            <w:tcW w:type="dxa" w:w="1701"/>
          </w:tcPr>
          <w:p>
            <w:r>
              <w:t>PENDENTE (falhou)</w:t>
            </w:r>
          </w:p>
        </w:tc>
      </w:tr>
      <w:tr>
        <w:tc>
          <w:tcPr>
            <w:tcW w:type="dxa" w:w="567"/>
          </w:tcPr>
          <w:p>
            <w:r>
              <w:t>6</w:t>
            </w:r>
          </w:p>
        </w:tc>
        <w:tc>
          <w:tcPr>
            <w:tcW w:type="dxa" w:w="2154"/>
          </w:tcPr>
          <w:p>
            <w:r>
              <w:t>Astrofísica</w:t>
            </w:r>
          </w:p>
        </w:tc>
        <w:tc>
          <w:tcPr>
            <w:tcW w:type="dxa" w:w="5216"/>
          </w:tcPr>
          <w:p>
            <w:r>
              <w:t>New evidence points to two feeding black holes just 175 parsecs apart lurking in the early universe</w:t>
            </w:r>
          </w:p>
        </w:tc>
        <w:tc>
          <w:tcPr>
            <w:tcW w:type="dxa" w:w="1701"/>
          </w:tcPr>
          <w:p>
            <w:r>
              <w:t>PENDENTE (falhou)</w:t>
            </w:r>
          </w:p>
        </w:tc>
      </w:tr>
      <w:tr>
        <w:tc>
          <w:tcPr>
            <w:tcW w:type="dxa" w:w="567"/>
          </w:tcPr>
          <w:p>
            <w:r>
              <w:t>7</w:t>
            </w:r>
          </w:p>
        </w:tc>
        <w:tc>
          <w:tcPr>
            <w:tcW w:type="dxa" w:w="2154"/>
          </w:tcPr>
          <w:p>
            <w:r>
              <w:t>Engenharia e Computação Quântica</w:t>
            </w:r>
          </w:p>
        </w:tc>
        <w:tc>
          <w:tcPr>
            <w:tcW w:type="dxa" w:w="5216"/>
          </w:tcPr>
          <w:p>
            <w:r>
              <w:t>MIT Bengaluru Launches Quantum-Hub@MAHE With 25-Qubit System</w:t>
            </w:r>
          </w:p>
        </w:tc>
        <w:tc>
          <w:tcPr>
            <w:tcW w:type="dxa" w:w="1701"/>
          </w:tcPr>
          <w:p>
            <w:r>
              <w:t>PENDENTE (falhou)</w:t>
            </w:r>
          </w:p>
        </w:tc>
      </w:tr>
      <w:tr>
        <w:tc>
          <w:tcPr>
            <w:tcW w:type="dxa" w:w="567"/>
          </w:tcPr>
          <w:p>
            <w:r>
              <w:t>8</w:t>
            </w:r>
          </w:p>
        </w:tc>
        <w:tc>
          <w:tcPr>
            <w:tcW w:type="dxa" w:w="2154"/>
          </w:tcPr>
          <w:p>
            <w:r>
              <w:t>Computadores Pessoais</w:t>
            </w:r>
          </w:p>
        </w:tc>
        <w:tc>
          <w:tcPr>
            <w:tcW w:type="dxa" w:w="5216"/>
          </w:tcPr>
          <w:p>
            <w:r>
              <w:t>Your 4TB SSD probably has the wrong cluster size for large files</w:t>
            </w:r>
          </w:p>
        </w:tc>
        <w:tc>
          <w:tcPr>
            <w:tcW w:type="dxa" w:w="1701"/>
          </w:tcPr>
          <w:p>
            <w:r>
              <w:t>PENDENTE (falhou)</w:t>
            </w:r>
          </w:p>
        </w:tc>
      </w:tr>
      <w:tr>
        <w:tc>
          <w:tcPr>
            <w:tcW w:type="dxa" w:w="567"/>
          </w:tcPr>
          <w:p>
            <w:r>
              <w:t>9</w:t>
            </w:r>
          </w:p>
        </w:tc>
        <w:tc>
          <w:tcPr>
            <w:tcW w:type="dxa" w:w="2154"/>
          </w:tcPr>
          <w:p>
            <w:r>
              <w:t>Inteligência Artificial</w:t>
            </w:r>
          </w:p>
        </w:tc>
        <w:tc>
          <w:tcPr>
            <w:tcW w:type="dxa" w:w="5216"/>
          </w:tcPr>
          <w:p>
            <w:r>
              <w:t>IA mais poderosa do Google, Gemini 4 Argon chega para assinantes Pro e Ultra na web</w:t>
            </w:r>
          </w:p>
        </w:tc>
        <w:tc>
          <w:tcPr>
            <w:tcW w:type="dxa" w:w="1701"/>
          </w:tcPr>
          <w:p>
            <w:r>
              <w:t>PENDENTE (falhou)</w:t>
            </w:r>
          </w:p>
        </w:tc>
      </w:tr>
      <w:tr>
        <w:tc>
          <w:tcPr>
            <w:tcW w:type="dxa" w:w="567"/>
          </w:tcPr>
          <w:p>
            <w:r>
              <w:t>10</w:t>
            </w:r>
          </w:p>
        </w:tc>
        <w:tc>
          <w:tcPr>
            <w:tcW w:type="dxa" w:w="2154"/>
          </w:tcPr>
          <w:p>
            <w:r>
              <w:t>Energia e Novos Materiais</w:t>
            </w:r>
          </w:p>
        </w:tc>
        <w:tc>
          <w:tcPr>
            <w:tcW w:type="dxa" w:w="5216"/>
          </w:tcPr>
          <w:p>
            <w:r>
              <w:t>Nova usina solar com hidrogênio chinesa "ligaria" capital brasileira por 37 dias</w:t>
            </w:r>
          </w:p>
        </w:tc>
        <w:tc>
          <w:tcPr>
            <w:tcW w:type="dxa" w:w="1701"/>
          </w:tcPr>
          <w:p>
            <w:r>
              <w:t>PENDENTE (falhou)</w:t>
            </w:r>
          </w:p>
        </w:tc>
      </w:tr>
      <w:tr>
        <w:tc>
          <w:tcPr>
            <w:tcW w:type="dxa" w:w="567"/>
          </w:tcPr>
          <w:p>
            <w:r>
              <w:t>11</w:t>
            </w:r>
          </w:p>
        </w:tc>
        <w:tc>
          <w:tcPr>
            <w:tcW w:type="dxa" w:w="2154"/>
          </w:tcPr>
          <w:p>
            <w:r>
              <w:t>Cibersegurança</w:t>
            </w:r>
          </w:p>
        </w:tc>
        <w:tc>
          <w:tcPr>
            <w:tcW w:type="dxa" w:w="5216"/>
          </w:tcPr>
          <w:p>
            <w:r>
              <w:t>U.K. Sanctions Cryptomus for RU Money Laundering</w:t>
            </w:r>
          </w:p>
        </w:tc>
        <w:tc>
          <w:tcPr>
            <w:tcW w:type="dxa" w:w="1701"/>
          </w:tcPr>
          <w:p>
            <w:r>
              <w:t>PENDENTE (falhou)</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MEDICINA</w:t>
      </w:r>
    </w:p>
    <w:p>
      <w:pPr>
        <w:pStyle w:val="Heading1"/>
      </w:pPr>
      <w:r>
        <w:t>[PENDENTE] Jawbone necrosis in advanced breast cancer: Study highlights the importance of oral health</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https://medicalxpress.com/news/2026-10-jawbone-necrosis-advanced-breast-cancer.html</w:t>
              </w:r>
            </w:hyperlink>
          </w:p>
        </w:tc>
      </w:tr>
      <w:tr>
        <w:tc>
          <w:tcPr>
            <w:tcW w:type="dxa" w:w="2551"/>
            <w:shd w:val="clear" w:color="auto" w:fill="EAF0FA"/>
          </w:tcPr>
          <w:p>
            <w:r>
              <w:rPr>
                <w:b/>
              </w:rPr>
              <w:t>Veículo</w:t>
            </w:r>
          </w:p>
        </w:tc>
        <w:tc>
          <w:tcPr>
            <w:tcW w:type="dxa" w:w="6803"/>
          </w:tcPr>
          <w:p>
            <w:r>
              <w:t>Medical Xpress</w:t>
            </w:r>
          </w:p>
        </w:tc>
      </w:tr>
      <w:tr>
        <w:tc>
          <w:tcPr>
            <w:tcW w:type="dxa" w:w="2551"/>
            <w:shd w:val="clear" w:color="auto" w:fill="EAF0FA"/>
          </w:tcPr>
          <w:p>
            <w:r>
              <w:rPr>
                <w:b/>
              </w:rPr>
              <w:t>Resumo do feed</w:t>
            </w:r>
          </w:p>
        </w:tc>
        <w:tc>
          <w:tcPr>
            <w:tcW w:type="dxa" w:w="6803"/>
          </w:tcPr>
          <w:p>
            <w:r>
              <w:t>Antiresorptive drugs, which reduce bone breakdown, are an important part of treatment for breast cancer that has spread to the bones. However, their use can be associated with medication-related osteonecrosis of the jaw (MRONJ), a condition in which bone tissue in the jaw dies. In a Finnish registry study, osteonecrosis of the jaw was diagnosed in 12.6% of patients treated with denosumab during long-term follow-up.</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BIOLOGIA</w:t>
      </w:r>
    </w:p>
    <w:p>
      <w:pPr>
        <w:pStyle w:val="Heading1"/>
      </w:pPr>
      <w:r>
        <w:t>[PENDENTE] DNA analysis uncovers first known genetic connection between rare New Caledonian plant and parasitic plant</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0">
              <w:r>
                <w:rPr>
                  <w:color w:val="0B3D91"/>
                  <w:u w:val="single"/>
                </w:rPr>
                <w:t xml:space="preserve">https://phys.org/news/2026-10-dna-analysis-uncovers-genetic-rare.html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A new genetic analysis tool developed by UF assistant professor of biology Liming Cai, Ph.D., has led to the discovery of the first known interaction between Amborella, a rare New Caledonian plant, and a parasitic plant called Hachettea.</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ROBÓTICA</w:t>
      </w:r>
    </w:p>
    <w:p>
      <w:pPr>
        <w:pStyle w:val="Heading1"/>
      </w:pPr>
      <w:r>
        <w:t>[PENDENTE] Q&amp;A: Mars Perseverance Rover Sets a Distance Record</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1">
              <w:r>
                <w:rPr>
                  <w:color w:val="0B3D91"/>
                  <w:u w:val="single"/>
                </w:rPr>
                <w:t xml:space="preserve">https://spectrum.ieee.org/mars-rover-distance-record</w:t>
              </w:r>
            </w:hyperlink>
          </w:p>
        </w:tc>
      </w:tr>
      <w:tr>
        <w:tc>
          <w:tcPr>
            <w:tcW w:type="dxa" w:w="2551"/>
            <w:shd w:val="clear" w:color="auto" w:fill="EAF0FA"/>
          </w:tcPr>
          <w:p>
            <w:r>
              <w:rPr>
                <w:b/>
              </w:rPr>
              <w:t>Veículo</w:t>
            </w:r>
          </w:p>
        </w:tc>
        <w:tc>
          <w:tcPr>
            <w:tcW w:type="dxa" w:w="6803"/>
          </w:tcPr>
          <w:p>
            <w:r>
              <w:t>IEEE Spectrum</w:t>
            </w:r>
          </w:p>
        </w:tc>
      </w:tr>
      <w:tr>
        <w:tc>
          <w:tcPr>
            <w:tcW w:type="dxa" w:w="2551"/>
            <w:shd w:val="clear" w:color="auto" w:fill="EAF0FA"/>
          </w:tcPr>
          <w:p>
            <w:r>
              <w:rPr>
                <w:b/>
              </w:rPr>
              <w:t>Resumo do feed</w:t>
            </w:r>
          </w:p>
        </w:tc>
        <w:tc>
          <w:tcPr>
            <w:tcW w:type="dxa" w:w="6803"/>
          </w:tcPr>
          <w:p>
            <w:r>
              <w:t>On October 11 , the Perseverance rover completed a drive that brought its total distance traveled on Mars to 28.10 miles (45.22 kilometers). This is a new record for Mars rovers, enabled in large part by Perseverance’s ability to drive with much more autonomy than its predecessors. Over the last five years, Perseverance’s autonomy software has been steadily upgraded, and to learn more about how the record was broken and what the future holds for the rover, we spoke with Mark Maimone , the Perseverance Robotic Operations Deputy Team Chief at NASA’s Jet Propulsion Laboratory, who designed and developed the self-driving software for Mars rovers Spirit, Opportunity, Curiosity, and Perseverance. Before we talk about Perseverance, let’s pour one out for the previous record holder Opportunity , which landed on Mars in January of 2004 for a 3-month mission and ended its epic journey 15 years later in February of 2019. This NASA video compresses Opportunity’s entire mission into four minutes, and gives a poignant sense of the incredible distance that this little rover traveled over its 15 year life on Mars, doing science as it went: NASA Jet Propulsion Laboratory/YouTube Opportunity drove 4</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SOFTWARE</w:t>
      </w:r>
    </w:p>
    <w:p>
      <w:pPr>
        <w:pStyle w:val="Heading1"/>
      </w:pPr>
      <w:r>
        <w:t>[PENDENTE] Tiny11 puts Windows 11 on a diet without the PowerShell workout</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2">
              <w:r>
                <w:rPr>
                  <w:color w:val="0B3D91"/>
                  <w:u w:val="single"/>
                </w:rPr>
                <w:t xml:space="preserve">https://www.theregister.com/os-platforms/2026/10/14/tiny11-puts-windows-11-on-a-diet-without-the-powershell-workout/5303034</w:t>
              </w:r>
            </w:hyperlink>
          </w:p>
        </w:tc>
      </w:tr>
      <w:tr>
        <w:tc>
          <w:tcPr>
            <w:tcW w:type="dxa" w:w="2551"/>
            <w:shd w:val="clear" w:color="auto" w:fill="EAF0FA"/>
          </w:tcPr>
          <w:p>
            <w:r>
              <w:rPr>
                <w:b/>
              </w:rPr>
              <w:t>Veículo</w:t>
            </w:r>
          </w:p>
        </w:tc>
        <w:tc>
          <w:tcPr>
            <w:tcW w:type="dxa" w:w="6803"/>
          </w:tcPr>
          <w:p>
            <w:r>
              <w:t>The Register</w:t>
            </w:r>
          </w:p>
        </w:tc>
      </w:tr>
      <w:tr>
        <w:tc>
          <w:tcPr>
            <w:tcW w:type="dxa" w:w="2551"/>
            <w:shd w:val="clear" w:color="auto" w:fill="EAF0FA"/>
          </w:tcPr>
          <w:p>
            <w:r>
              <w:rPr>
                <w:b/>
              </w:rPr>
              <w:t>Resumo do feed</w:t>
            </w:r>
          </w:p>
        </w:tc>
        <w:tc>
          <w:tcPr>
            <w:tcW w:type="dxa" w:w="6803"/>
          </w:tcPr>
          <w:p>
            <w:r>
              <w:t>New desktop app simplifies stripping out bundled software, with heavier cuts carrying security and support risks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HARDWARE</w:t>
      </w:r>
    </w:p>
    <w:p>
      <w:pPr>
        <w:pStyle w:val="Heading1"/>
      </w:pPr>
      <w:r>
        <w:t>[PENDENTE] U.S. Chip Firms Bet Big on R&amp;D</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3">
              <w:r>
                <w:rPr>
                  <w:color w:val="0B3D91"/>
                  <w:u w:val="single"/>
                </w:rPr>
                <w:t xml:space="preserve">https://spectrum.ieee.org/semiconductor-research</w:t>
              </w:r>
            </w:hyperlink>
          </w:p>
        </w:tc>
      </w:tr>
      <w:tr>
        <w:tc>
          <w:tcPr>
            <w:tcW w:type="dxa" w:w="2551"/>
            <w:shd w:val="clear" w:color="auto" w:fill="EAF0FA"/>
          </w:tcPr>
          <w:p>
            <w:r>
              <w:rPr>
                <w:b/>
              </w:rPr>
              <w:t>Veículo</w:t>
            </w:r>
          </w:p>
        </w:tc>
        <w:tc>
          <w:tcPr>
            <w:tcW w:type="dxa" w:w="6803"/>
          </w:tcPr>
          <w:p>
            <w:r>
              <w:t>IEEE Spectrum</w:t>
            </w:r>
          </w:p>
        </w:tc>
      </w:tr>
      <w:tr>
        <w:tc>
          <w:tcPr>
            <w:tcW w:type="dxa" w:w="2551"/>
            <w:shd w:val="clear" w:color="auto" w:fill="EAF0FA"/>
          </w:tcPr>
          <w:p>
            <w:r>
              <w:rPr>
                <w:b/>
              </w:rPr>
              <w:t>Resumo do feed</w:t>
            </w:r>
          </w:p>
        </w:tc>
        <w:tc>
          <w:tcPr>
            <w:tcW w:type="dxa" w:w="6803"/>
          </w:tcPr>
          <w:p>
            <w:r>
              <w:t>On 12 October, Applied Materials unveiled a multibillion-dollar research facility in Sunnyvale, Calif., in the heart of Silicon Valley . The company first announced in 2023 plans to invest US $4 billion in its Equipment and Process Innovation and Commercialization (EPIC) Center, but now says it will invest even more: about $5 billion. The boost is part of a wider growth in private investment that is both enlarging the U.S. semiconductor R&amp;D sector and making it more complex. The EPIC announcement follows others, in August, by two semiconductor firms. Memory chipmaker Micron disclosed that it would invest $10 billion over 10 years at its Boise, Idaho, memory research lab, and SK Hynix said it will spend $4 billion on an advanced packaging facility in West Lafayette, Ind. (Neither of those companies responded to IEEE Spectrum ’s questions about how much of those funds would be for R&amp;D.) The U.S. federal government has encouraged investment in U.S. semiconductor research by chip giants based in friendly nations, such as TSMC and Samsung. It has also enacted tariffs on foreign components and put some of its own money into faltering domestic chip companies including Intel . But the real</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ASTROFÍSICA</w:t>
      </w:r>
    </w:p>
    <w:p>
      <w:pPr>
        <w:pStyle w:val="Heading1"/>
      </w:pPr>
      <w:r>
        <w:t>[PENDENTE] New evidence points to two feeding black holes just 175 parsecs apart lurking in the early universe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4">
              <w:r>
                <w:rPr>
                  <w:color w:val="0B3D91"/>
                  <w:u w:val="single"/>
                </w:rPr>
                <w:t xml:space="preserve">https://phys.org/news/2026-10-evidence-black-holes-parsecs-lurking.html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Astronomers have found two actively feeding supermassive black holes separated by just 175 parsecs (570 light-years) in a galaxy seen when the universe was only about 2 billion years old. The system, MG B2016+112, lies at a redshift of 3.273 and is the most compact dual AGN known at this redshift. The study was posted to the arXiv preprint server on Sept. 25.</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ENGENHARIA E COMPUTAÇÃO QUÂNTICA</w:t>
      </w:r>
    </w:p>
    <w:p>
      <w:pPr>
        <w:pStyle w:val="Heading1"/>
      </w:pPr>
      <w:r>
        <w:t>[PENDENTE] MIT Bengaluru Launches Quantum-Hub@MAHE With 25-Qubit System</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5">
              <w:r>
                <w:rPr>
                  <w:color w:val="0B3D91"/>
                  <w:u w:val="single"/>
                </w:rPr>
                <w:t xml:space="preserve">https://thequantuminsider.com/2026/10/14/mit-bengaluru-launches-quantum-hub-mahe-25-qubit-system/</w:t>
              </w:r>
            </w:hyperlink>
          </w:p>
        </w:tc>
      </w:tr>
      <w:tr>
        <w:tc>
          <w:tcPr>
            <w:tcW w:type="dxa" w:w="2551"/>
            <w:shd w:val="clear" w:color="auto" w:fill="EAF0FA"/>
          </w:tcPr>
          <w:p>
            <w:r>
              <w:rPr>
                <w:b/>
              </w:rPr>
              <w:t>Veículo</w:t>
            </w:r>
          </w:p>
        </w:tc>
        <w:tc>
          <w:tcPr>
            <w:tcW w:type="dxa" w:w="6803"/>
          </w:tcPr>
          <w:p>
            <w:r>
              <w:t>The Quantum Insider</w:t>
            </w:r>
          </w:p>
        </w:tc>
      </w:tr>
      <w:tr>
        <w:tc>
          <w:tcPr>
            <w:tcW w:type="dxa" w:w="2551"/>
            <w:shd w:val="clear" w:color="auto" w:fill="EAF0FA"/>
          </w:tcPr>
          <w:p>
            <w:r>
              <w:rPr>
                <w:b/>
              </w:rPr>
              <w:t>Resumo do feed</w:t>
            </w:r>
          </w:p>
        </w:tc>
        <w:tc>
          <w:tcPr>
            <w:tcW w:type="dxa" w:w="6803"/>
          </w:tcPr>
          <w:p>
            <w:r>
              <w:t>Insider Brief PRESS RELEASE — Manipal Institute of Technology, Bengaluru (MIT Bengaluru) on Tuesday launched Manipal House of Quantum, Quantum-Hub@MAHE. Established by Manipal Academy of Higher Education (MAHE), an Institution of Eminence Deemed to be University, the initiative will advance quantum hardware experimentation, engineering education and indigenous technology development in alignment with India’s National Quantum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COMPUTADORES PESSOAIS</w:t>
      </w:r>
    </w:p>
    <w:p>
      <w:pPr>
        <w:pStyle w:val="Heading1"/>
      </w:pPr>
      <w:r>
        <w:t>[PENDENTE] Your 4TB SSD probably has the wrong cluster size for large files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6">
              <w:r>
                <w:rPr>
                  <w:color w:val="0B3D91"/>
                  <w:u w:val="single"/>
                </w:rPr>
                <w:t xml:space="preserve">https://www.pcworld.com/article/3229547/your-4tb-ssd-probably-has-the-wrong-cluster-size-for-large-files.html</w:t>
              </w:r>
            </w:hyperlink>
          </w:p>
        </w:tc>
      </w:tr>
      <w:tr>
        <w:tc>
          <w:tcPr>
            <w:tcW w:type="dxa" w:w="2551"/>
            <w:shd w:val="clear" w:color="auto" w:fill="EAF0FA"/>
          </w:tcPr>
          <w:p>
            <w:r>
              <w:rPr>
                <w:b/>
              </w:rPr>
              <w:t>Veículo</w:t>
            </w:r>
          </w:p>
        </w:tc>
        <w:tc>
          <w:tcPr>
            <w:tcW w:type="dxa" w:w="6803"/>
          </w:tcPr>
          <w:p>
            <w:r>
              <w:t>PCWorld</w:t>
            </w:r>
          </w:p>
        </w:tc>
      </w:tr>
      <w:tr>
        <w:tc>
          <w:tcPr>
            <w:tcW w:type="dxa" w:w="2551"/>
            <w:shd w:val="clear" w:color="auto" w:fill="EAF0FA"/>
          </w:tcPr>
          <w:p>
            <w:r>
              <w:rPr>
                <w:b/>
              </w:rPr>
              <w:t>Resumo do feed</w:t>
            </w:r>
          </w:p>
        </w:tc>
        <w:tc>
          <w:tcPr>
            <w:tcW w:type="dxa" w:w="6803"/>
          </w:tcPr>
          <w:p>
            <w:r>
              <w:t>In an age of 4TB SSDs and massive NVMe drives, many users tend to leave the entire storage space as a single, huge system drive. While this is convenient, from an administrative point of view it is a risky move that amounts to flying blind. Instead, we recommend strategically partitioning your largest drives. This brings tangible benefits for data security, system recovery, and backup efficiency. Think of partitions as digital firewalls within your hardware. If your operating system becomes corrupted by a faulty driver, a failed update, or even malware, a clean reinstallation is often the quickest way back to a stable system. However, if you’ve stored everything on a single partition, you’ll have to laboriously back up terabytes of data before reinstalling, or risk losing it when formatting the drive. By separating the operating system onto partition C: and your user data onto partition D:, you can completely wipe and reinstall Windows, while your game collections, video projects, and documents on the second partition remain completely untouched. This not only saves time but also spares you a lot of stress in crisis situations. You should partition high-capacity drives – for greate</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INTELIGÊNCIA ARTIFICIAL</w:t>
      </w:r>
    </w:p>
    <w:p>
      <w:pPr>
        <w:pStyle w:val="Heading1"/>
      </w:pPr>
      <w:r>
        <w:t>[PENDENTE] IA mais poderosa do Google, Gemini 4 Argon chega para assinantes Pro e Ultra na web</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7">
              <w:r>
                <w:rPr>
                  <w:color w:val="0B3D91"/>
                  <w:u w:val="single"/>
                </w:rPr>
                <w:t xml:space="preserve">https://canaltech.com.br/inteligencia-artificial/ia-mais-poderosa-do-google-gemini-4-argon-chega-para-assinantes-pro-e-ultra-na-web/</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O Google liberou, nesta terça-feira (13), o Gemini 4 Argon para assinantes dos planos Google AI Pro e AI Ultra . Descrito pela empresa como seu modelo de inteligência artificial mais poderoso até o momento, ele está disponível no aplicativo Gemini e na versão web, com melhorias em raciocínio, programação e execução autônoma de tarefas. Antes restrito a um grupo menor de usuários, o modelo passou por ajustes de segurança contra jailbreaks , tentativas de contornar as proteções da IA. A versão pública também apresenta respostas mais objetivas, com menos repetições e frases genéricas, além de atualizações frequentes sobre o andamento de tarefas demoradas. Quais são as novidades do Gemini 4 Argon? Um dos destaques é a integração com mais de 40 aplicativos , como Instacart, OpenTable, Adobe e Shopify. O sistema pode executar atividades, como compras de supermercado, reservas em restaurantes e trabalhos de design, inclusive sem que o usuário precise acompanhar cada etapa diante do computador. O modelo ainda recebeu melhorias na comunicação , com respostas diretas e menos hesitação, além de atualizações sobre o progresso de operações longas. A proposta é tornar as interações mais claras e</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ENERGIA E NOVOS MATERIAIS</w:t>
      </w:r>
    </w:p>
    <w:p>
      <w:pPr>
        <w:pStyle w:val="Heading1"/>
      </w:pPr>
      <w:r>
        <w:t>[PENDENTE] Nova usina solar com hidrogênio chinesa "ligaria" capital brasileira por 37 dias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8">
              <w:r>
                <w:rPr>
                  <w:color w:val="0B3D91"/>
                  <w:u w:val="single"/>
                </w:rPr>
                <w:t xml:space="preserve">https://canaltech.com.br/eletro/nova-usina-solar-com-hidrogenio-chinesa-ligaria-capital-brasileira-por-37-dias/</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Uma nova etapa do maior complexo integrado de energia solar, baterias e hidrogênio da China entrou em operação nesta quarta-feira (14). Instalado em Rudong, na província costeira de Jiangsu, o projeto é tão grande que sua produção anual de eletricidade seria equivalente a aproximadamente 37 dias de todo o consumo de uma capital brasileira como Curitiba . Isso não significa que a instalação conseguiria manter a capital paranaense literalmente ligada durante 37 dias consecutivos. A comparação considera apenas o volume de energia produzido ao longo de um ano pela parte fotovoltaica do complexo e o consumo médio diário de Curitiba. Há limitações de potência, armazenamento e, obviamente, distância entre os dois lugares. O complexo de Guohua Rudong reúne 400 MW de geração fotovoltaica , uma estação de baterias com potência de 60 MW e capacidade de 120 MWh e uma instalação capaz de produzir até 1.500 metros cúbicos padrão de hidrogênio por hora. Há ainda uma subestação de 220 kV responsável pela integração do projeto à rede elétrica. Hidrogênio resolve ponto fraco da energia solar A ideia é aproveitar melhor uma das maiores limitações da energia solar: o fato de sua produção variar bastan</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CIBERSEGURANÇA</w:t>
      </w:r>
    </w:p>
    <w:p>
      <w:pPr>
        <w:pStyle w:val="Heading1"/>
      </w:pPr>
      <w:r>
        <w:t>[PENDENTE] U.K. Sanctions Cryptomus for RU Money Laundering</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9">
              <w:r>
                <w:rPr>
                  <w:color w:val="0B3D91"/>
                  <w:u w:val="single"/>
                </w:rPr>
                <w:t xml:space="preserve">https://krebsonsecurity.com/2026/10/u-k-sanctions-cryptomus-for-ru-money-laundering/</w:t>
              </w:r>
            </w:hyperlink>
          </w:p>
        </w:tc>
      </w:tr>
      <w:tr>
        <w:tc>
          <w:tcPr>
            <w:tcW w:type="dxa" w:w="2551"/>
            <w:shd w:val="clear" w:color="auto" w:fill="EAF0FA"/>
          </w:tcPr>
          <w:p>
            <w:r>
              <w:rPr>
                <w:b/>
              </w:rPr>
              <w:t>Veículo</w:t>
            </w:r>
          </w:p>
        </w:tc>
        <w:tc>
          <w:tcPr>
            <w:tcW w:type="dxa" w:w="6803"/>
          </w:tcPr>
          <w:p>
            <w:r>
              <w:t>Krebs on Security</w:t>
            </w:r>
          </w:p>
        </w:tc>
      </w:tr>
      <w:tr>
        <w:tc>
          <w:tcPr>
            <w:tcW w:type="dxa" w:w="2551"/>
            <w:shd w:val="clear" w:color="auto" w:fill="EAF0FA"/>
          </w:tcPr>
          <w:p>
            <w:r>
              <w:rPr>
                <w:b/>
              </w:rPr>
              <w:t>Resumo do feed</w:t>
            </w:r>
          </w:p>
        </w:tc>
        <w:tc>
          <w:tcPr>
            <w:tcW w:type="dxa" w:w="6803"/>
          </w:tcPr>
          <w:p>
            <w:r>
              <w:t>The United Kingdom has issued economic sanctions against Cryptomus, a chameleonic cryptocurrency platform that experts say serves as a major conduit for payments related to ransomware, narcotics, darknet markets, fraud and cybercrime services that are helping Russia circumvent existing financial restrictions.</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dicalxpress.com/news/2026-10-jawbone-necrosis-advanced-breast-cancer.html" TargetMode="External"/><Relationship Id="rId10" Type="http://schemas.openxmlformats.org/officeDocument/2006/relationships/hyperlink" Target="https://phys.org/news/2026-10-dna-analysis-uncovers-genetic-rare.html" TargetMode="External"/><Relationship Id="rId11" Type="http://schemas.openxmlformats.org/officeDocument/2006/relationships/hyperlink" Target="https://spectrum.ieee.org/mars-rover-distance-record" TargetMode="External"/><Relationship Id="rId12" Type="http://schemas.openxmlformats.org/officeDocument/2006/relationships/hyperlink" Target="https://www.theregister.com/os-platforms/2026/10/14/tiny11-puts-windows-11-on-a-diet-without-the-powershell-workout/5303034" TargetMode="External"/><Relationship Id="rId13" Type="http://schemas.openxmlformats.org/officeDocument/2006/relationships/hyperlink" Target="https://spectrum.ieee.org/semiconductor-research" TargetMode="External"/><Relationship Id="rId14" Type="http://schemas.openxmlformats.org/officeDocument/2006/relationships/hyperlink" Target="https://phys.org/news/2026-10-evidence-black-holes-parsecs-lurking.html" TargetMode="External"/><Relationship Id="rId15" Type="http://schemas.openxmlformats.org/officeDocument/2006/relationships/hyperlink" Target="https://thequantuminsider.com/2026/10/14/mit-bengaluru-launches-quantum-hub-mahe-25-qubit-system/" TargetMode="External"/><Relationship Id="rId16" Type="http://schemas.openxmlformats.org/officeDocument/2006/relationships/hyperlink" Target="https://www.pcworld.com/article/3229547/your-4tb-ssd-probably-has-the-wrong-cluster-size-for-large-files.html" TargetMode="External"/><Relationship Id="rId17" Type="http://schemas.openxmlformats.org/officeDocument/2006/relationships/hyperlink" Target="https://canaltech.com.br/inteligencia-artificial/ia-mais-poderosa-do-google-gemini-4-argon-chega-para-assinantes-pro-e-ultra-na-web/" TargetMode="External"/><Relationship Id="rId18" Type="http://schemas.openxmlformats.org/officeDocument/2006/relationships/hyperlink" Target="https://canaltech.com.br/eletro/nova-usina-solar-com-hidrogenio-chinesa-ligaria-capital-brasileira-por-37-dias/" TargetMode="External"/><Relationship Id="rId19" Type="http://schemas.openxmlformats.org/officeDocument/2006/relationships/hyperlink" Target="https://krebsonsecurity.com/2026/10/u-k-sanctions-cryptomus-for-ru-money-laund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SciTekVision — edição de 15/10/2026</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