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MEDICINA</w:t>
      </w:r>
    </w:p>
    <w:p>
      <w:pPr>
        <w:pStyle w:val="Heading1"/>
      </w:pPr>
      <w:r>
        <w:t>[PENDENTE] Jawbone necrosis in advanced breast cancer: Study highlights the importance of oral health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https://medicalxpress.com/news/2026-10-jawbone-necrosis-advanced-breast-cancer.html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Medical Xpress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Antiresorptive drugs, which reduce bone breakdown, are an important part of treatment for breast cancer that has spread to the bones. However, their use can be associated with medication-related osteonecrosis of the jaw (MRONJ), a condition in which bone tissue in the jaw dies. In a Finnish registry study, osteonecrosis of the jaw was diagnosed in 12.6% of patients treated with denosumab during long-term follow-up.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dicalxpress.com/news/2026-10-jawbone-necrosis-advanced-breast-canc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Jawbone necrosis in advanced breast cancer: Study highlights the importance of oral health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