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U.S. Chip Firms Bet Big on R&amp;D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https://spectrum.ieee.org/semiconductor-research</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On 12 October, Applied Materials unveiled a multibillion-dollar research facility in Sunnyvale, Calif., in the heart of Silicon Valley . The company first announced in 2023 plans to invest US $4 billion in its Equipment and Process Innovation and Commercialization (EPIC) Center, but now says it will invest even more: about $5 billion. The boost is part of a wider growth in private investment that is both enlarging the U.S. semiconductor R&amp;D sector and making it more complex. The EPIC announcement follows others, in August, by two semiconductor firms. Memory chipmaker Micron disclosed that it would invest $10 billion over 10 years at its Boise, Idaho, memory research lab, and SK Hynix said it will spend $4 billion on an advanced packaging facility in West Lafayette, Ind. (Neither of those companies responded to IEEE Spectrum ’s questions about how much of those funds would be for R&amp;D.) The U.S. federal government has encouraged investment in U.S. semiconductor research by chip giants based in friendly nations, such as TSMC and Samsung. It has also enacted tariffs on foreign components and put some of its own money into faltering domestic chip companies including Intel . But the real</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ectrum.ieee.org/semiconductor-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Chip Firms Bet Big on R&amp;D</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