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3D91"/>
          <w:sz w:val="72"/>
        </w:rPr>
        <w:t>SciTekVision</w:t>
      </w:r>
    </w:p>
    <w:p>
      <w:pPr>
        <w:jc w:val="center"/>
      </w:pPr>
      <w:r>
        <w:rPr>
          <w:sz w:val="28"/>
        </w:rPr>
        <w:t>Edição de 26/10/2026 — rascunhos para revisão</w:t>
      </w:r>
    </w:p>
    <w:p>
      <w:pPr>
        <w:jc w:val="center"/>
      </w:pPr>
      <w:r>
        <w:t>0 de 10 editorias com artigo redigido.</w:t>
      </w:r>
    </w:p>
    <w:p>
      <w:pPr>
        <w:pStyle w:val="Heading1"/>
      </w:pPr>
      <w:r>
        <w:t>Sumário</w:t>
      </w:r>
    </w:p>
    <w:tbl>
      <w:tblPr>
        <w:tblStyle w:val="TableGrid"/>
        <w:tblW w:type="auto" w:w="0"/>
        <w:tblLook w:firstColumn="1" w:firstRow="1" w:lastColumn="0" w:lastRow="0" w:noHBand="0" w:noVBand="1" w:val="04A0"/>
      </w:tblPr>
      <w:tblGrid>
        <w:gridCol w:w="2436"/>
        <w:gridCol w:w="2436"/>
        <w:gridCol w:w="2436"/>
        <w:gridCol w:w="2436"/>
      </w:tblGrid>
      <w:tr>
        <w:tc>
          <w:tcPr>
            <w:tcW w:type="dxa" w:w="567"/>
            <w:shd w:val="clear" w:color="auto" w:fill="EAF0FA"/>
          </w:tcPr>
          <w:p>
            <w:r>
              <w:rPr>
                <w:b/>
              </w:rPr>
              <w:t>#</w:t>
            </w:r>
          </w:p>
        </w:tc>
        <w:tc>
          <w:tcPr>
            <w:tcW w:type="dxa" w:w="2154"/>
            <w:shd w:val="clear" w:color="auto" w:fill="EAF0FA"/>
          </w:tcPr>
          <w:p>
            <w:r>
              <w:rPr>
                <w:b/>
              </w:rPr>
              <w:t>Editoria</w:t>
            </w:r>
          </w:p>
        </w:tc>
        <w:tc>
          <w:tcPr>
            <w:tcW w:type="dxa" w:w="5216"/>
            <w:shd w:val="clear" w:color="auto" w:fill="EAF0FA"/>
          </w:tcPr>
          <w:p>
            <w:r>
              <w:rPr>
                <w:b/>
              </w:rPr>
              <w:t>Título</w:t>
            </w:r>
          </w:p>
        </w:tc>
        <w:tc>
          <w:tcPr>
            <w:tcW w:type="dxa" w:w="1701"/>
            <w:shd w:val="clear" w:color="auto" w:fill="EAF0FA"/>
          </w:tcPr>
          <w:p>
            <w:r>
              <w:rPr>
                <w:b/>
              </w:rPr>
              <w:t>Status</w:t>
            </w:r>
          </w:p>
        </w:tc>
      </w:tr>
      <w:tr>
        <w:tc>
          <w:tcPr>
            <w:tcW w:type="dxa" w:w="567"/>
          </w:tcPr>
          <w:p>
            <w:r>
              <w:t>1</w:t>
            </w:r>
          </w:p>
        </w:tc>
        <w:tc>
          <w:tcPr>
            <w:tcW w:type="dxa" w:w="2154"/>
          </w:tcPr>
          <w:p>
            <w:r>
              <w:t>Medicina</w:t>
            </w:r>
          </w:p>
        </w:tc>
        <w:tc>
          <w:tcPr>
            <w:tcW w:type="dxa" w:w="5216"/>
          </w:tcPr>
          <w:p>
            <w:r>
              <w:t>A precision T-cell therapy stalls treatment-resistant cancers in clinical trial</w:t>
            </w:r>
          </w:p>
        </w:tc>
        <w:tc>
          <w:tcPr>
            <w:tcW w:type="dxa" w:w="1701"/>
          </w:tcPr>
          <w:p>
            <w:r>
              <w:t>PENDENTE (falhou)</w:t>
            </w:r>
          </w:p>
        </w:tc>
      </w:tr>
      <w:tr>
        <w:tc>
          <w:tcPr>
            <w:tcW w:type="dxa" w:w="567"/>
          </w:tcPr>
          <w:p>
            <w:r>
              <w:t>2</w:t>
            </w:r>
          </w:p>
        </w:tc>
        <w:tc>
          <w:tcPr>
            <w:tcW w:type="dxa" w:w="2154"/>
          </w:tcPr>
          <w:p>
            <w:r>
              <w:t>Biologia</w:t>
            </w:r>
          </w:p>
        </w:tc>
        <w:tc>
          <w:tcPr>
            <w:tcW w:type="dxa" w:w="5216"/>
          </w:tcPr>
          <w:p>
            <w:r>
              <w:t>Surveying the genetic battlefield to uncover the rules of rapid evolution</w:t>
            </w:r>
          </w:p>
        </w:tc>
        <w:tc>
          <w:tcPr>
            <w:tcW w:type="dxa" w:w="1701"/>
          </w:tcPr>
          <w:p>
            <w:r>
              <w:t>PENDENTE (falhou)</w:t>
            </w:r>
          </w:p>
        </w:tc>
      </w:tr>
      <w:tr>
        <w:tc>
          <w:tcPr>
            <w:tcW w:type="dxa" w:w="567"/>
          </w:tcPr>
          <w:p>
            <w:r>
              <w:t>3</w:t>
            </w:r>
          </w:p>
        </w:tc>
        <w:tc>
          <w:tcPr>
            <w:tcW w:type="dxa" w:w="2154"/>
          </w:tcPr>
          <w:p>
            <w:r>
              <w:t>Robótica</w:t>
            </w:r>
          </w:p>
        </w:tc>
        <w:tc>
          <w:tcPr>
            <w:tcW w:type="dxa" w:w="5216"/>
          </w:tcPr>
          <w:p>
            <w:r>
              <w:t>Teradyne Robotics partners with Sereact to scale physical AI in retail and logistics</w:t>
            </w:r>
          </w:p>
        </w:tc>
        <w:tc>
          <w:tcPr>
            <w:tcW w:type="dxa" w:w="1701"/>
          </w:tcPr>
          <w:p>
            <w:r>
              <w:t>PENDENTE (falhou)</w:t>
            </w:r>
          </w:p>
        </w:tc>
      </w:tr>
      <w:tr>
        <w:tc>
          <w:tcPr>
            <w:tcW w:type="dxa" w:w="567"/>
          </w:tcPr>
          <w:p>
            <w:r>
              <w:t>4</w:t>
            </w:r>
          </w:p>
        </w:tc>
        <w:tc>
          <w:tcPr>
            <w:tcW w:type="dxa" w:w="2154"/>
          </w:tcPr>
          <w:p>
            <w:r>
              <w:t>Software</w:t>
            </w:r>
          </w:p>
        </w:tc>
        <w:tc>
          <w:tcPr>
            <w:tcW w:type="dxa" w:w="5216"/>
          </w:tcPr>
          <w:p>
            <w:r>
              <w:t>PingCAP Breach Exposes Customer Records and Source Code</w:t>
            </w:r>
          </w:p>
        </w:tc>
        <w:tc>
          <w:tcPr>
            <w:tcW w:type="dxa" w:w="1701"/>
          </w:tcPr>
          <w:p>
            <w:r>
              <w:t>PENDENTE (falhou)</w:t>
            </w:r>
          </w:p>
        </w:tc>
      </w:tr>
      <w:tr>
        <w:tc>
          <w:tcPr>
            <w:tcW w:type="dxa" w:w="567"/>
          </w:tcPr>
          <w:p>
            <w:r>
              <w:t>5</w:t>
            </w:r>
          </w:p>
        </w:tc>
        <w:tc>
          <w:tcPr>
            <w:tcW w:type="dxa" w:w="2154"/>
          </w:tcPr>
          <w:p>
            <w:r>
              <w:t>Hardware</w:t>
            </w:r>
          </w:p>
        </w:tc>
        <w:tc>
          <w:tcPr>
            <w:tcW w:type="dxa" w:w="5216"/>
          </w:tcPr>
          <w:p>
            <w:r>
              <w:t>Nvidia discusses $2,000-per-GPU annual fee for software that 'runs agents on AI factories'</w:t>
            </w:r>
          </w:p>
        </w:tc>
        <w:tc>
          <w:tcPr>
            <w:tcW w:type="dxa" w:w="1701"/>
          </w:tcPr>
          <w:p>
            <w:r>
              <w:t>PENDENTE (falhou)</w:t>
            </w:r>
          </w:p>
        </w:tc>
      </w:tr>
      <w:tr>
        <w:tc>
          <w:tcPr>
            <w:tcW w:type="dxa" w:w="567"/>
          </w:tcPr>
          <w:p>
            <w:r>
              <w:t>6</w:t>
            </w:r>
          </w:p>
        </w:tc>
        <w:tc>
          <w:tcPr>
            <w:tcW w:type="dxa" w:w="2154"/>
          </w:tcPr>
          <w:p>
            <w:r>
              <w:t>Astrofísica</w:t>
            </w:r>
          </w:p>
        </w:tc>
        <w:tc>
          <w:tcPr>
            <w:tcW w:type="dxa" w:w="5216"/>
          </w:tcPr>
          <w:p>
            <w:r>
              <w:t>Three giant black holes discovered in a galaxy from the dawn of time</w:t>
            </w:r>
          </w:p>
        </w:tc>
        <w:tc>
          <w:tcPr>
            <w:tcW w:type="dxa" w:w="1701"/>
          </w:tcPr>
          <w:p>
            <w:r>
              <w:t>PENDENTE (falhou)</w:t>
            </w:r>
          </w:p>
        </w:tc>
      </w:tr>
      <w:tr>
        <w:tc>
          <w:tcPr>
            <w:tcW w:type="dxa" w:w="567"/>
          </w:tcPr>
          <w:p>
            <w:r>
              <w:t>7</w:t>
            </w:r>
          </w:p>
        </w:tc>
        <w:tc>
          <w:tcPr>
            <w:tcW w:type="dxa" w:w="2154"/>
          </w:tcPr>
          <w:p>
            <w:r>
              <w:t>Engenharia e Computação Quântica</w:t>
            </w:r>
          </w:p>
        </w:tc>
        <w:tc>
          <w:tcPr>
            <w:tcW w:type="dxa" w:w="5216"/>
          </w:tcPr>
          <w:p>
            <w:r>
              <w:t>Poetry for Engineers: Of Code and Shortleaf Pine</w:t>
            </w:r>
          </w:p>
        </w:tc>
        <w:tc>
          <w:tcPr>
            <w:tcW w:type="dxa" w:w="1701"/>
          </w:tcPr>
          <w:p>
            <w:r>
              <w:t>PENDENTE (falhou)</w:t>
            </w:r>
          </w:p>
        </w:tc>
      </w:tr>
      <w:tr>
        <w:tc>
          <w:tcPr>
            <w:tcW w:type="dxa" w:w="567"/>
          </w:tcPr>
          <w:p>
            <w:r>
              <w:t>8</w:t>
            </w:r>
          </w:p>
        </w:tc>
        <w:tc>
          <w:tcPr>
            <w:tcW w:type="dxa" w:w="2154"/>
          </w:tcPr>
          <w:p>
            <w:r>
              <w:t>Computadores Pessoais</w:t>
            </w:r>
          </w:p>
        </w:tc>
        <w:tc>
          <w:tcPr>
            <w:tcW w:type="dxa" w:w="5216"/>
          </w:tcPr>
          <w:p>
            <w:r>
              <w:t>Para que serve a porta de 2.5G no roteador que você tem em casa?</w:t>
            </w:r>
          </w:p>
        </w:tc>
        <w:tc>
          <w:tcPr>
            <w:tcW w:type="dxa" w:w="1701"/>
          </w:tcPr>
          <w:p>
            <w:r>
              <w:t>PENDENTE (falhou)</w:t>
            </w:r>
          </w:p>
        </w:tc>
      </w:tr>
      <w:tr>
        <w:tc>
          <w:tcPr>
            <w:tcW w:type="dxa" w:w="567"/>
          </w:tcPr>
          <w:p>
            <w:r>
              <w:t>9</w:t>
            </w:r>
          </w:p>
        </w:tc>
        <w:tc>
          <w:tcPr>
            <w:tcW w:type="dxa" w:w="2154"/>
          </w:tcPr>
          <w:p>
            <w:r>
              <w:t>Inteligência Artificial</w:t>
            </w:r>
          </w:p>
        </w:tc>
        <w:tc>
          <w:tcPr>
            <w:tcW w:type="dxa" w:w="5216"/>
          </w:tcPr>
          <w:p>
            <w:r>
              <w:t>Moonshot limita capacidades de seu modelo de IA mais avançado para evitar ataques hackers</w:t>
            </w:r>
          </w:p>
        </w:tc>
        <w:tc>
          <w:tcPr>
            <w:tcW w:type="dxa" w:w="1701"/>
          </w:tcPr>
          <w:p>
            <w:r>
              <w:t>PENDENTE (falhou)</w:t>
            </w:r>
          </w:p>
        </w:tc>
      </w:tr>
      <w:tr>
        <w:tc>
          <w:tcPr>
            <w:tcW w:type="dxa" w:w="567"/>
          </w:tcPr>
          <w:p>
            <w:r>
              <w:t>10</w:t>
            </w:r>
          </w:p>
        </w:tc>
        <w:tc>
          <w:tcPr>
            <w:tcW w:type="dxa" w:w="2154"/>
          </w:tcPr>
          <w:p>
            <w:r>
              <w:t>Energia e Novos Materiais</w:t>
            </w:r>
          </w:p>
        </w:tc>
        <w:tc>
          <w:tcPr>
            <w:tcW w:type="dxa" w:w="5216"/>
          </w:tcPr>
          <w:p>
            <w:r>
              <w:t>Posso deixar o carro elétrico carregando a noite toda?</w:t>
            </w:r>
          </w:p>
        </w:tc>
        <w:tc>
          <w:tcPr>
            <w:tcW w:type="dxa" w:w="1701"/>
          </w:tcPr>
          <w:p>
            <w:r>
              <w:t>PENDENTE (falhou)</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MEDICINA</w:t>
      </w:r>
    </w:p>
    <w:p>
      <w:pPr>
        <w:pStyle w:val="Heading1"/>
      </w:pPr>
      <w:r>
        <w:t>[PENDENTE] A precision T-cell therapy stalls treatment-resistant cancers in clinical trial</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https://www.nih.gov/news-events/news-releases/precision-t-cell-therapy-stalls-treatment-resistant-cancers-clinical-trial</w:t>
              </w:r>
            </w:hyperlink>
          </w:p>
        </w:tc>
      </w:tr>
      <w:tr>
        <w:tc>
          <w:tcPr>
            <w:tcW w:type="dxa" w:w="2551"/>
            <w:shd w:val="clear" w:color="auto" w:fill="EAF0FA"/>
          </w:tcPr>
          <w:p>
            <w:r>
              <w:rPr>
                <w:b/>
              </w:rPr>
              <w:t>Veículo</w:t>
            </w:r>
          </w:p>
        </w:tc>
        <w:tc>
          <w:tcPr>
            <w:tcW w:type="dxa" w:w="6803"/>
          </w:tcPr>
          <w:p>
            <w:r>
              <w:t>NIH</w:t>
            </w:r>
          </w:p>
        </w:tc>
      </w:tr>
      <w:tr>
        <w:tc>
          <w:tcPr>
            <w:tcW w:type="dxa" w:w="2551"/>
            <w:shd w:val="clear" w:color="auto" w:fill="EAF0FA"/>
          </w:tcPr>
          <w:p>
            <w:r>
              <w:rPr>
                <w:b/>
              </w:rPr>
              <w:t>Resumo do feed</w:t>
            </w:r>
          </w:p>
        </w:tc>
        <w:tc>
          <w:tcPr>
            <w:tcW w:type="dxa" w:w="6803"/>
          </w:tcPr>
          <w:p>
            <w:r>
              <w:t>Experimental drug invika halts progression of refractory tumors by selectively stimulating tumor-fighting T cells.</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BIOLOGIA</w:t>
      </w:r>
    </w:p>
    <w:p>
      <w:pPr>
        <w:pStyle w:val="Heading1"/>
      </w:pPr>
      <w:r>
        <w:t>[PENDENTE] Surveying the genetic battlefield to uncover the rules of rapid evolution</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0">
              <w:r>
                <w:rPr>
                  <w:color w:val="0B3D91"/>
                  <w:u w:val="single"/>
                </w:rPr>
                <w:t xml:space="preserve">https://phys.org/news/2026-10-surveying-genetic-battlefield-uncover-rapid.html</w:t>
              </w:r>
            </w:hyperlink>
          </w:p>
        </w:tc>
      </w:tr>
      <w:tr>
        <w:tc>
          <w:tcPr>
            <w:tcW w:type="dxa" w:w="2551"/>
            <w:shd w:val="clear" w:color="auto" w:fill="EAF0FA"/>
          </w:tcPr>
          <w:p>
            <w:r>
              <w:rPr>
                <w:b/>
              </w:rPr>
              <w:t>Veículo</w:t>
            </w:r>
          </w:p>
        </w:tc>
        <w:tc>
          <w:tcPr>
            <w:tcW w:type="dxa" w:w="6803"/>
          </w:tcPr>
          <w:p>
            <w:r>
              <w:t>Phys.org</w:t>
            </w:r>
          </w:p>
        </w:tc>
      </w:tr>
      <w:tr>
        <w:tc>
          <w:tcPr>
            <w:tcW w:type="dxa" w:w="2551"/>
            <w:shd w:val="clear" w:color="auto" w:fill="EAF0FA"/>
          </w:tcPr>
          <w:p>
            <w:r>
              <w:rPr>
                <w:b/>
              </w:rPr>
              <w:t>Resumo do feed</w:t>
            </w:r>
          </w:p>
        </w:tc>
        <w:tc>
          <w:tcPr>
            <w:tcW w:type="dxa" w:w="6803"/>
          </w:tcPr>
          <w:p>
            <w:r>
              <w:t>The Malik Lab thrives on competition. But for HHMI investigator Harmit Malik and his team at the Fred Hutchinson Cancer Center, it's the genomes—not the people—that are in conflict. The lab studies rapid evolution—the genetic changes that happen in a species over a few generations rather than thousands of years. These fast changes are often fueled by genetic conflicts—competitions between different entities trying to maximize their success at the expense of another.</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ROBÓTICA</w:t>
      </w:r>
    </w:p>
    <w:p>
      <w:pPr>
        <w:pStyle w:val="Heading1"/>
      </w:pPr>
      <w:r>
        <w:t>[PENDENTE] Teradyne Robotics partners with Sereact to scale physical AI in retail and logistics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1">
              <w:r>
                <w:rPr>
                  <w:color w:val="0B3D91"/>
                  <w:u w:val="single"/>
                </w:rPr>
                <w:t xml:space="preserve">https://www.therobotreport.com/teradyne-robotics-partners-sereact-scale-physical-ai-retail-logistics/</w:t>
              </w:r>
            </w:hyperlink>
          </w:p>
        </w:tc>
      </w:tr>
      <w:tr>
        <w:tc>
          <w:tcPr>
            <w:tcW w:type="dxa" w:w="2551"/>
            <w:shd w:val="clear" w:color="auto" w:fill="EAF0FA"/>
          </w:tcPr>
          <w:p>
            <w:r>
              <w:rPr>
                <w:b/>
              </w:rPr>
              <w:t>Veículo</w:t>
            </w:r>
          </w:p>
        </w:tc>
        <w:tc>
          <w:tcPr>
            <w:tcW w:type="dxa" w:w="6803"/>
          </w:tcPr>
          <w:p>
            <w:r>
              <w:t>The Robot Report</w:t>
            </w:r>
          </w:p>
        </w:tc>
      </w:tr>
      <w:tr>
        <w:tc>
          <w:tcPr>
            <w:tcW w:type="dxa" w:w="2551"/>
            <w:shd w:val="clear" w:color="auto" w:fill="EAF0FA"/>
          </w:tcPr>
          <w:p>
            <w:r>
              <w:rPr>
                <w:b/>
              </w:rPr>
              <w:t>Resumo do feed</w:t>
            </w:r>
          </w:p>
        </w:tc>
        <w:tc>
          <w:tcPr>
            <w:tcW w:type="dxa" w:w="6803"/>
          </w:tcPr>
          <w:p>
            <w:r>
              <w:t>Sereact and Teradyne have already shipped hundreds of UR robots in dual-arm systems to live customer sites across Europe. The post Teradyne Robotics partners with Sereact to scale physical AI in retail and logistics appeared first on The Robot Report .</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SOFTWARE</w:t>
      </w:r>
    </w:p>
    <w:p>
      <w:pPr>
        <w:pStyle w:val="Heading1"/>
      </w:pPr>
      <w:r>
        <w:t>[PENDENTE] PingCAP Breach Exposes Customer Records and Source Code</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2">
              <w:r>
                <w:rPr>
                  <w:color w:val="0B3D91"/>
                  <w:u w:val="single"/>
                </w:rPr>
                <w:t xml:space="preserve">https://www.infoq.com/news/2026/10/pingcap-cloud-data-breach/?utm_campaign=infoq_content&amp;utm_source=infoq&amp;utm_medium=feed&amp;utm_term=global</w:t>
              </w:r>
            </w:hyperlink>
          </w:p>
        </w:tc>
      </w:tr>
      <w:tr>
        <w:tc>
          <w:tcPr>
            <w:tcW w:type="dxa" w:w="2551"/>
            <w:shd w:val="clear" w:color="auto" w:fill="EAF0FA"/>
          </w:tcPr>
          <w:p>
            <w:r>
              <w:rPr>
                <w:b/>
              </w:rPr>
              <w:t>Veículo</w:t>
            </w:r>
          </w:p>
        </w:tc>
        <w:tc>
          <w:tcPr>
            <w:tcW w:type="dxa" w:w="6803"/>
          </w:tcPr>
          <w:p>
            <w:r>
              <w:t>InfoQ</w:t>
            </w:r>
          </w:p>
        </w:tc>
      </w:tr>
      <w:tr>
        <w:tc>
          <w:tcPr>
            <w:tcW w:type="dxa" w:w="2551"/>
            <w:shd w:val="clear" w:color="auto" w:fill="EAF0FA"/>
          </w:tcPr>
          <w:p>
            <w:r>
              <w:rPr>
                <w:b/>
              </w:rPr>
              <w:t>Resumo do feed</w:t>
            </w:r>
          </w:p>
        </w:tc>
        <w:tc>
          <w:tcPr>
            <w:tcW w:type="dxa" w:w="6803"/>
          </w:tcPr>
          <w:p>
            <w:r>
              <w:t>PingCAP recently confirmed unauthorized access to its internal systems and the theft of source code and customer-related data. The attacker, cyber extortion group FulcrumSec, claimed to have stolen 10.6 TB of data, including TiDB Cloud control-plane records, customer SQL statements, API keys, connection logs, billing information, internal documents, and 413 private source-code repositories. By Renato Losio</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HARDWARE</w:t>
      </w:r>
    </w:p>
    <w:p>
      <w:pPr>
        <w:pStyle w:val="Heading1"/>
      </w:pPr>
      <w:r>
        <w:t>[PENDENTE] Nvidia discusses $2,000-per-GPU annual fee for software that 'runs agents on AI factories'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3">
              <w:r>
                <w:rPr>
                  <w:color w:val="0B3D91"/>
                  <w:u w:val="single"/>
                </w:rPr>
                <w:t xml:space="preserve">https://www.tomshardware.com/pc-components/gpus/nvidia-discusses-usd2-000-per-gpu-annual-software-fee-for-running-agents-on-ai-infrastructure-firm-already-charges-more-than-twice-that-amount-for-its-ai-enterprise-software-platform</w:t>
              </w:r>
            </w:hyperlink>
          </w:p>
        </w:tc>
      </w:tr>
      <w:tr>
        <w:tc>
          <w:tcPr>
            <w:tcW w:type="dxa" w:w="2551"/>
            <w:shd w:val="clear" w:color="auto" w:fill="EAF0FA"/>
          </w:tcPr>
          <w:p>
            <w:r>
              <w:rPr>
                <w:b/>
              </w:rPr>
              <w:t>Veículo</w:t>
            </w:r>
          </w:p>
        </w:tc>
        <w:tc>
          <w:tcPr>
            <w:tcW w:type="dxa" w:w="6803"/>
          </w:tcPr>
          <w:p>
            <w:r>
              <w:t>Tom's Hardware</w:t>
            </w:r>
          </w:p>
        </w:tc>
      </w:tr>
      <w:tr>
        <w:tc>
          <w:tcPr>
            <w:tcW w:type="dxa" w:w="2551"/>
            <w:shd w:val="clear" w:color="auto" w:fill="EAF0FA"/>
          </w:tcPr>
          <w:p>
            <w:r>
              <w:rPr>
                <w:b/>
              </w:rPr>
              <w:t>Resumo do feed</w:t>
            </w:r>
          </w:p>
        </w:tc>
        <w:tc>
          <w:tcPr>
            <w:tcW w:type="dxa" w:w="6803"/>
          </w:tcPr>
          <w:p>
            <w:r>
              <w:t>Nvidia CEO Jensen Huang is reportedly weighing annual software fees of around $2,000 per GPU for enterprise AI, a model that could generate $10 billion a year if five million licenses were sold. The pricing and launch timeline remain unconfirmed, while Nvidia continues to expand its AI software and security tools for enterprise customers.</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ASTROFÍSICA</w:t>
      </w:r>
    </w:p>
    <w:p>
      <w:pPr>
        <w:pStyle w:val="Heading1"/>
      </w:pPr>
      <w:r>
        <w:t>[PENDENTE] Three giant black holes discovered in a galaxy from the dawn of time</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4">
              <w:r>
                <w:rPr>
                  <w:color w:val="0B3D91"/>
                  <w:u w:val="single"/>
                </w:rPr>
                <w:t xml:space="preserve">https://www.sciencedaily.com/releases/2026/10/261024222000.htm</w:t>
              </w:r>
            </w:hyperlink>
          </w:p>
        </w:tc>
      </w:tr>
      <w:tr>
        <w:tc>
          <w:tcPr>
            <w:tcW w:type="dxa" w:w="2551"/>
            <w:shd w:val="clear" w:color="auto" w:fill="EAF0FA"/>
          </w:tcPr>
          <w:p>
            <w:r>
              <w:rPr>
                <w:b/>
              </w:rPr>
              <w:t>Veículo</w:t>
            </w:r>
          </w:p>
        </w:tc>
        <w:tc>
          <w:tcPr>
            <w:tcW w:type="dxa" w:w="6803"/>
          </w:tcPr>
          <w:p>
            <w:r>
              <w:t>ScienceDaily</w:t>
            </w:r>
          </w:p>
        </w:tc>
      </w:tr>
      <w:tr>
        <w:tc>
          <w:tcPr>
            <w:tcW w:type="dxa" w:w="2551"/>
            <w:shd w:val="clear" w:color="auto" w:fill="EAF0FA"/>
          </w:tcPr>
          <w:p>
            <w:r>
              <w:rPr>
                <w:b/>
              </w:rPr>
              <w:t>Resumo do feed</w:t>
            </w:r>
          </w:p>
        </w:tc>
        <w:tc>
          <w:tcPr>
            <w:tcW w:type="dxa" w:w="6803"/>
          </w:tcPr>
          <w:p>
            <w:r>
              <w:t>Astronomers have discovered three actively feeding black holes inside a single galaxy more than 12.5 billion light-years away, revealing a remarkable scene from the universe’s infancy. Two of the black holes are separated by just 620 light-years and are expected to eventually merge, while a third lurks farther away. One weighs an astonishing 80 million suns, and another is growing faster than conventional theories predict.</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ENGENHARIA E COMPUTAÇÃO QUÂNTICA</w:t>
      </w:r>
    </w:p>
    <w:p>
      <w:pPr>
        <w:pStyle w:val="Heading1"/>
      </w:pPr>
      <w:r>
        <w:t>[PENDENTE] Poetry for Engineers: Of Code and Shortleaf Pine</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5">
              <w:r>
                <w:rPr>
                  <w:color w:val="0B3D91"/>
                  <w:u w:val="single"/>
                </w:rPr>
                <w:t xml:space="preserve">https://spectrum.ieee.org/poetry-for-engineers-of-code-and-shortleaf-pine</w:t>
              </w:r>
            </w:hyperlink>
          </w:p>
        </w:tc>
      </w:tr>
      <w:tr>
        <w:tc>
          <w:tcPr>
            <w:tcW w:type="dxa" w:w="2551"/>
            <w:shd w:val="clear" w:color="auto" w:fill="EAF0FA"/>
          </w:tcPr>
          <w:p>
            <w:r>
              <w:rPr>
                <w:b/>
              </w:rPr>
              <w:t>Veículo</w:t>
            </w:r>
          </w:p>
        </w:tc>
        <w:tc>
          <w:tcPr>
            <w:tcW w:type="dxa" w:w="6803"/>
          </w:tcPr>
          <w:p>
            <w:r>
              <w:t>IEEE Spectrum</w:t>
            </w:r>
          </w:p>
        </w:tc>
      </w:tr>
      <w:tr>
        <w:tc>
          <w:tcPr>
            <w:tcW w:type="dxa" w:w="2551"/>
            <w:shd w:val="clear" w:color="auto" w:fill="EAF0FA"/>
          </w:tcPr>
          <w:p>
            <w:r>
              <w:rPr>
                <w:b/>
              </w:rPr>
              <w:t>Resumo do feed</w:t>
            </w:r>
          </w:p>
        </w:tc>
        <w:tc>
          <w:tcPr>
            <w:tcW w:type="dxa" w:w="6803"/>
          </w:tcPr>
          <w:p>
            <w:r>
              <w:t>I step into the warm moist air among the columns of the pines, their net of twigs and roots complex as any lines of code. The trees purify and anchor. Their branches balance my restlessness. Their calling is to be present, mine to develop apps. Our tasks verge toward a common logic: living filaments of root, of interface.</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COMPUTADORES PESSOAIS</w:t>
      </w:r>
    </w:p>
    <w:p>
      <w:pPr>
        <w:pStyle w:val="Heading1"/>
      </w:pPr>
      <w:r>
        <w:t>[PENDENTE] Para que serve a porta de 2.5G no roteador que você tem em casa?</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6">
              <w:r>
                <w:rPr>
                  <w:color w:val="0B3D91"/>
                  <w:u w:val="single"/>
                </w:rPr>
                <w:t xml:space="preserve">https://canaltech.com.br/hardware/para-que-serve-a-porta-de-25g-no-roteador/</w:t>
              </w:r>
            </w:hyperlink>
          </w:p>
        </w:tc>
      </w:tr>
      <w:tr>
        <w:tc>
          <w:tcPr>
            <w:tcW w:type="dxa" w:w="2551"/>
            <w:shd w:val="clear" w:color="auto" w:fill="EAF0FA"/>
          </w:tcPr>
          <w:p>
            <w:r>
              <w:rPr>
                <w:b/>
              </w:rPr>
              <w:t>Veículo</w:t>
            </w:r>
          </w:p>
        </w:tc>
        <w:tc>
          <w:tcPr>
            <w:tcW w:type="dxa" w:w="6803"/>
          </w:tcPr>
          <w:p>
            <w:r>
              <w:t>Canaltech</w:t>
            </w:r>
          </w:p>
        </w:tc>
      </w:tr>
      <w:tr>
        <w:tc>
          <w:tcPr>
            <w:tcW w:type="dxa" w:w="2551"/>
            <w:shd w:val="clear" w:color="auto" w:fill="EAF0FA"/>
          </w:tcPr>
          <w:p>
            <w:r>
              <w:rPr>
                <w:b/>
              </w:rPr>
              <w:t>Resumo do feed</w:t>
            </w:r>
          </w:p>
        </w:tc>
        <w:tc>
          <w:tcPr>
            <w:tcW w:type="dxa" w:w="6803"/>
          </w:tcPr>
          <w:p>
            <w:r>
              <w:t>Se você trocou de roteador nos últimos anos ou contratou um plano de internet mais veloz, provavelmente reparou que uma das portas de rede na traseira do equipamento tem uma marcação diferente. Além das conexões amarelas ou pretas tradicionais, surge uma entrada destacada com a inscrição "2.5G" ou "2.5GbE" , despertando a dúvida sobre qual dispositivo deve ser conectado ali para aproveitar o máximo desempenho. Essa porta sinaliza que o equipamento está pronto para a rede multi-gigabit. Enquanto a porta Ethernet Gigabit padrão limita a transferência de dados via cabo a 1 Gbps (cerca de 125 MB/s), a conexão 2.5G permite alcançar taxas de até 2,5 Gbps . Trata-se de uma evolução de 150% na largura de banda disponível, pensada para eliminar gargalos em conexões de alta velocidade e redes locais exigentes. O que é necessário para aproveitar os 2,5 Gbps? Para usufruir da taxa de transferência de 2,5 Gbps em um dispositivo específico, não basta apenas ter a porta disponível no roteador. É fundamental que o computador ( através da placa-mãe ) , notebook ou servidor conectado do outro lado da ponta também possua uma placa de rede compatível com o padrão 2.5GbE . Se o limite for 1 Gbps, a con</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INTELIGÊNCIA ARTIFICIAL</w:t>
      </w:r>
    </w:p>
    <w:p>
      <w:pPr>
        <w:pStyle w:val="Heading1"/>
      </w:pPr>
      <w:r>
        <w:t>[PENDENTE] Moonshot limita capacidades de seu modelo de IA mais avançado para evitar ataques hackers</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7">
              <w:r>
                <w:rPr>
                  <w:color w:val="0B3D91"/>
                  <w:u w:val="single"/>
                </w:rPr>
                <w:t xml:space="preserve">https://olhardigital.com.br/2026/10/25/inteligencia-artificial/moonshot-limita-capacidades-de-seu-modelo-de-ia-mais-avancado-para-evitar-ataques-hackers/</w:t>
              </w:r>
            </w:hyperlink>
          </w:p>
        </w:tc>
      </w:tr>
      <w:tr>
        <w:tc>
          <w:tcPr>
            <w:tcW w:type="dxa" w:w="2551"/>
            <w:shd w:val="clear" w:color="auto" w:fill="EAF0FA"/>
          </w:tcPr>
          <w:p>
            <w:r>
              <w:rPr>
                <w:b/>
              </w:rPr>
              <w:t>Veículo</w:t>
            </w:r>
          </w:p>
        </w:tc>
        <w:tc>
          <w:tcPr>
            <w:tcW w:type="dxa" w:w="6803"/>
          </w:tcPr>
          <w:p>
            <w:r>
              <w:t>Olhar Digital</w:t>
            </w:r>
          </w:p>
        </w:tc>
      </w:tr>
      <w:tr>
        <w:tc>
          <w:tcPr>
            <w:tcW w:type="dxa" w:w="2551"/>
            <w:shd w:val="clear" w:color="auto" w:fill="EAF0FA"/>
          </w:tcPr>
          <w:p>
            <w:r>
              <w:rPr>
                <w:b/>
              </w:rPr>
              <w:t>Resumo do feed</w:t>
            </w:r>
          </w:p>
        </w:tc>
        <w:tc>
          <w:tcPr>
            <w:tcW w:type="dxa" w:w="6803"/>
          </w:tcPr>
          <w:p>
            <w:r>
              <w:t>A startup chinesa Moonshot AI anunciou neste fim de semana que reduziu as capacidades ciberofensivas de seu mais novo modelo de inteligência artificial. O post Moonshot limita capacidades de seu modelo de IA mais avançado para evitar ataques hackers apareceu primeiro em Olhar Digital .</w:t>
            </w:r>
          </w:p>
        </w:tc>
      </w:tr>
    </w:tbl>
    <w:p>
      <w:r>
        <w:br w:type="page"/>
      </w:r>
    </w:p>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ENERGIA E NOVOS MATERIAIS</w:t>
      </w:r>
    </w:p>
    <w:p>
      <w:pPr>
        <w:pStyle w:val="Heading1"/>
      </w:pPr>
      <w:r>
        <w:t>[PENDENTE] Posso deixar o carro elétrico carregando a noite toda?</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18">
              <w:r>
                <w:rPr>
                  <w:color w:val="0B3D91"/>
                  <w:u w:val="single"/>
                </w:rPr>
                <w:t xml:space="preserve">https://canaltech.com.br/carros/posso-deixar-o-carro-eletrico-carregando-a-noite-toda/</w:t>
              </w:r>
            </w:hyperlink>
          </w:p>
        </w:tc>
      </w:tr>
      <w:tr>
        <w:tc>
          <w:tcPr>
            <w:tcW w:type="dxa" w:w="2551"/>
            <w:shd w:val="clear" w:color="auto" w:fill="EAF0FA"/>
          </w:tcPr>
          <w:p>
            <w:r>
              <w:rPr>
                <w:b/>
              </w:rPr>
              <w:t>Veículo</w:t>
            </w:r>
          </w:p>
        </w:tc>
        <w:tc>
          <w:tcPr>
            <w:tcW w:type="dxa" w:w="6803"/>
          </w:tcPr>
          <w:p>
            <w:r>
              <w:t>Canaltech</w:t>
            </w:r>
          </w:p>
        </w:tc>
      </w:tr>
      <w:tr>
        <w:tc>
          <w:tcPr>
            <w:tcW w:type="dxa" w:w="2551"/>
            <w:shd w:val="clear" w:color="auto" w:fill="EAF0FA"/>
          </w:tcPr>
          <w:p>
            <w:r>
              <w:rPr>
                <w:b/>
              </w:rPr>
              <w:t>Resumo do feed</w:t>
            </w:r>
          </w:p>
        </w:tc>
        <w:tc>
          <w:tcPr>
            <w:tcW w:type="dxa" w:w="6803"/>
          </w:tcPr>
          <w:p>
            <w:r>
              <w:t>Quem compra um carro elétrico costuma ter uma dúvida logo nos primeiros dias de uso: é seguro deixar o veículo carregando durante toda a noite ? A preocupação é compreensível, principalmente porque muitos consumidores fazem uma associação com celulares e notebooks , que durante anos ficaram conhecidos pelo risco de "viciar" a bateria . Nos EVs modernos , porém, o funcionamento é bastante diferente . Os modelos contam com sistemas eletrônicos desenvolvidos justamente para monitorar o processo de recarga e proteger a bateria contra situações que possam comprometer sua vida útil. Fabricantes como BYD , Chevrolet, Hyundai, Volvo e Tesla orientam que o carregamento residencial faz parte da rotina normal de utilização do veículo. Na prática, deixar o carro conectado durante a madrugada é um dos cenários previstos pelos próprios projetos de engenharia, desde que sejam utilizados equipamentos adequados e instalados corretamente. Sistema do carro interrompe recarga automaticamente Ao contrário do que muitos imaginam, a bateria não continua recebendo energia indefinidamente após atingir a carga programada. Os carros elétricos utilizam um sistema chamado Battery Management System (BMS) , resp</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nih.gov/news-events/news-releases/precision-t-cell-therapy-stalls-treatment-resistant-cancers-clinical-trial" TargetMode="External"/><Relationship Id="rId10" Type="http://schemas.openxmlformats.org/officeDocument/2006/relationships/hyperlink" Target="https://phys.org/news/2026-10-surveying-genetic-battlefield-uncover-rapid.html" TargetMode="External"/><Relationship Id="rId11" Type="http://schemas.openxmlformats.org/officeDocument/2006/relationships/hyperlink" Target="https://www.therobotreport.com/teradyne-robotics-partners-sereact-scale-physical-ai-retail-logistics/" TargetMode="External"/><Relationship Id="rId12" Type="http://schemas.openxmlformats.org/officeDocument/2006/relationships/hyperlink" Target="https://www.infoq.com/news/2026/10/pingcap-cloud-data-breach/?utm_campaign=infoq_content&amp;utm_source=infoq&amp;utm_medium=feed&amp;utm_term=global" TargetMode="External"/><Relationship Id="rId13" Type="http://schemas.openxmlformats.org/officeDocument/2006/relationships/hyperlink" Target="https://www.tomshardware.com/pc-components/gpus/nvidia-discusses-usd2-000-per-gpu-annual-software-fee-for-running-agents-on-ai-infrastructure-firm-already-charges-more-than-twice-that-amount-for-its-ai-enterprise-software-platform" TargetMode="External"/><Relationship Id="rId14" Type="http://schemas.openxmlformats.org/officeDocument/2006/relationships/hyperlink" Target="https://www.sciencedaily.com/releases/2026/10/261024222000.htm" TargetMode="External"/><Relationship Id="rId15" Type="http://schemas.openxmlformats.org/officeDocument/2006/relationships/hyperlink" Target="https://spectrum.ieee.org/poetry-for-engineers-of-code-and-shortleaf-pine" TargetMode="External"/><Relationship Id="rId16" Type="http://schemas.openxmlformats.org/officeDocument/2006/relationships/hyperlink" Target="https://canaltech.com.br/hardware/para-que-serve-a-porta-de-25g-no-roteador/" TargetMode="External"/><Relationship Id="rId17" Type="http://schemas.openxmlformats.org/officeDocument/2006/relationships/hyperlink" Target="https://olhardigital.com.br/2026/10/25/inteligencia-artificial/moonshot-limita-capacidades-de-seu-modelo-de-ia-mais-avancado-para-evitar-ataques-hackers/" TargetMode="External"/><Relationship Id="rId18" Type="http://schemas.openxmlformats.org/officeDocument/2006/relationships/hyperlink" Target="https://canaltech.com.br/carros/posso-deixar-o-carro-eletrico-carregando-a-noite-tod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SciTekVision — edição de 26/10/2026</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