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Teradyne Robotics partners with Sereact to scale physical AI in retail and logistics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https://www.therobotreport.com/teradyne-robotics-partners-sereact-scale-physical-ai-retail-logistics/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Robot Report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Sereact and Teradyne have already shipped hundreds of UR robots in dual-arm systems to live customer sites across Europe. The post Teradyne Robotics partners with Sereact to scale physical AI in retail and logistics appeared first on The Robot Report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robotreport.com/teradyne-robotics-partners-sereact-scale-physical-ai-retail-logis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Teradyne Robotics partners with Sereact to scale physical AI in retail and logistics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