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This $7,000 Asus RTX Spark laptop feels like Darth Vader’s MacBook Pro</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https://www.pcworld.com/article/3267291/this-7000-asus-rtx-spark-laptop-feels-like-darth-vaders-macbook-pro.html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It takes a lot to live up to a $7,000 price tag . Asus’ ProArt P16 RTX Spark certainly does when it comes to the hardware. With 128GB of memory, a spectacular 16-inch OLED display, and a remarkably thin and rigid all-metal chassis, it feels like a serious Windows challenger to Apple’s premium MacBook Pros despite a couple of annoying quirks. It’s utterly stunning hardware, full stop. I’m working on a full review of this beautiful monster, centered on the reason it exists in the first place: Nvidia’s new RTX Spark chip , a monumental memory pool, and what happens when you stop paying the cloud to run enormous AI workloads and start doing them locally instead. RTX Spark laptops are an entirely new class of Arm-based Windows machines, with models from Microsoft, Asus, Dell, HP, and Lenovo , culminating with this ProArt’s eye-watering $7,000 price tag. My testing is deep, weird, and still underway. Stay tuned. But that review is going to spend a lot of time talking about CUDA cores, tokens, local AI models, and benchmarks. Before disappearing down that rabbit hole, I want to talk about the actual laptop—because this feels like a premium machine designed to brawl with high-end MacBook P</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cworld.com/article/3267291/this-7000-asus-rtx-spark-laptop-feels-like-darth-vaders-macbook-pr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$7,000 Asus RTX Spark laptop feels like Darth Vader’s MacBook Pro</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