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HARDWARE</w:t>
      </w:r>
    </w:p>
    <w:p>
      <w:pPr>
        <w:pStyle w:val="Heading1"/>
      </w:pPr>
      <w:r>
        <w:t>[PENDENTE] O que são os TOPS dos chips de IA?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https://canaltech.com.br/hardware/o-que-sao-os-tops-dos-chips-de-ia/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 xml:space="preserve">Se você acompanhou os últimos lançamentos de hardware, certamente reparou na presença insistente de uma sigla (nova para muitos) nas fichas técnicas: TOPS . Promovida por gigantes como Intel, AMD, Qualcomm e Nvidia, essa métrica se tornou a principal bandeira do marketing para definir o quão inteligente ou preparado para a era da IA um determinado dispositivo é. Na prática, a sigla significa Trillions of Operations Per Second (Trilhões de Operações Por Segundo) e serve como uma medida teórica do desempenho bruto de um processador em tarefas de aprendizado de máquina . No entanto, por trás desse número, existe uma série de aspectos técnicos sobre como esse cálculo é feito, o papel da precisão dos dados e a real diferença entre processadores domésticos e chips voltados para servidores. O que essa métrica realmente mede? Para entender o conceito, vale imaginar os TOPS como a taxa de rotações por segundo de um motor, mas voltada para o processamento de redes neurais . Um pico de 40 TOPS indica que aquele circuito integrado é capaz de realizar matematicamente até 40 trilhões de operações numéricas simples por segundo na teoria, geralmente medindo cálculos de multiplicação e acúmulo. No 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hardware/o-que-sao-os-tops-dos-chips-de-i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que são os TOPS dos chips de IA?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