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ENERGIA E NOVOS MATERIAIS</w:t>
      </w:r>
    </w:p>
    <w:p>
      <w:pPr>
        <w:pStyle w:val="Heading1"/>
      </w:pPr>
      <w:r>
        <w:t>[PENDENTE] Transição energética enfrenta desafios diante do aumento do consumo mundial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https://jornal.usp.br/radio-usp/transicao-energetica-enfrenta-desafios-diante-do-aumento-do-consumo-mundial/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Jornal da USP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Apesar do avanço da energia solar, limitações na infraestrutura e altos custos de distribuição dificultam a expansão das fontes renováveis, enquanto petróleo e carvão seguem relevantes nas próximas décadas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ornal.usp.br/radio-usp/transicao-energetica-enfrenta-desafios-diante-do-aumento-do-consumo-mundi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Transição energética enfrenta desafios diante do aumento do consumo mundial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