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9023276ea4ba009ce5122aa011d80f838f4220"/>
      <w:r>
        <w:t xml:space="preserve">ZK Proofs on Soroban: Recovery + Privacy Bundle</w:t>
      </w:r>
      <w:bookmarkEnd w:id="20"/>
    </w:p>
    <w:p>
      <w:pPr>
        <w:pStyle w:val="FirstParagraph"/>
      </w:pPr>
      <w:r>
        <w:rPr>
          <w:b/>
        </w:rPr>
        <w:t xml:space="preserve">A proposal to the Stellar Development Foundation</w:t>
      </w:r>
    </w:p>
    <w:p>
      <w:pPr>
        <w:pStyle w:val="BodyText"/>
      </w:pPr>
      <w:r>
        <w:t xml:space="preserve">ZK proofs on Soroban are no longer hypothetical. We have a Noir/UltraHonk verifier validating real proofs on Stellar testnet today, and we are proposing to land it as a</w:t>
      </w:r>
      <w:r>
        <w:t xml:space="preserve"> </w:t>
      </w:r>
      <w:r>
        <w:rPr>
          <w:b/>
        </w:rPr>
        <w:t xml:space="preserve">recovery primitive in g2c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privacy circuit in neftwerk</w:t>
      </w:r>
      <w:r>
        <w:t xml:space="preserve"> </w:t>
      </w:r>
      <w:r>
        <w:t xml:space="preserve">— under one coordinated grant with hard track separation.</w:t>
      </w:r>
    </w:p>
    <w:p>
      <w:pPr>
        <w:pStyle w:val="Heading2"/>
      </w:pPr>
      <w:bookmarkStart w:id="21" w:name="why-now"/>
      <w:r>
        <w:t xml:space="preserve">Why now</w:t>
      </w:r>
      <w:bookmarkEnd w:id="21"/>
    </w:p>
    <w:p>
      <w:pPr>
        <w:pStyle w:val="FirstParagraph"/>
      </w:pPr>
      <w:r>
        <w:t xml:space="preserve">Soroban Smart Accounts have shipped, and OpenZeppelin's</w:t>
      </w:r>
      <w:r>
        <w:t xml:space="preserve"> </w:t>
      </w:r>
      <w:r>
        <w:rPr>
          <w:rStyle w:val="VerbatimChar"/>
        </w:rPr>
        <w:t xml:space="preserve">CustomAccountInterface</w:t>
      </w:r>
      <w:r>
        <w:t xml:space="preserve"> </w:t>
      </w:r>
      <w:r>
        <w:t xml:space="preserve">is the de-facto integration surface (g2c uses it today). Two structural gaps remain: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Recovery.</w:t>
      </w:r>
      <w:r>
        <w:t xml:space="preserve"> </w:t>
      </w:r>
      <w:r>
        <w:t xml:space="preserve">g2c's current story is "register a backup passkey." That is not enough — there is no key-rotation path for the lone-passkey case.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Privacy.</w:t>
      </w:r>
      <w:r>
        <w:t xml:space="preserve"> </w:t>
      </w:r>
      <w:r>
        <w:t xml:space="preserve">Stellar lacks a native primitive for hiding ownership while keeping provenance verifiable — a blocker for institutional and RWA use cases.</w:t>
      </w:r>
    </w:p>
    <w:p>
      <w:pPr>
        <w:pStyle w:val="FirstParagraph"/>
      </w:pPr>
      <w:r>
        <w:t xml:space="preserve">Both reduce to the same ZK substrate.</w:t>
      </w:r>
      <w:r>
        <w:t xml:space="preserve"> </w:t>
      </w:r>
      <w:r>
        <w:rPr>
          <w:b/>
        </w:rPr>
        <w:t xml:space="preserve">Universal primitive in g2c + sector application in neftwerk.</w:t>
      </w:r>
    </w:p>
    <w:p>
      <w:pPr>
        <w:pStyle w:val="Heading2"/>
      </w:pPr>
      <w:bookmarkStart w:id="22" w:name="the-two-pillars"/>
      <w:r>
        <w:t xml:space="preserve">The two pillars</w:t>
      </w:r>
      <w:bookmarkEnd w:id="22"/>
    </w:p>
    <w:p>
      <w:pPr>
        <w:pStyle w:val="FirstParagraph"/>
      </w:pPr>
      <w:r>
        <w:rPr>
          <w:b/>
        </w:rPr>
        <w:t xml:space="preserve">Pillar 1 — g2c: ZK account recovery as a universal primitive.</w:t>
      </w:r>
      <w:r>
        <w:t xml:space="preserve"> </w:t>
      </w:r>
      <w:r>
        <w:t xml:space="preserve">A user holds a BIP-39 seed offline at enrollment. From it we derive</w:t>
      </w:r>
      <w:r>
        <w:t xml:space="preserve"> </w:t>
      </w:r>
      <w:r>
        <w:rPr>
          <w:rStyle w:val="VerbatimChar"/>
        </w:rPr>
        <w:t xml:space="preserve">owner_secret = HKDF(seed, account_id, network_passphrase)</w:t>
      </w:r>
      <w:r>
        <w:t xml:space="preserve"> </w:t>
      </w:r>
      <w:r>
        <w:t xml:space="preserve">and store</w:t>
      </w:r>
      <w:r>
        <w:t xml:space="preserve"> </w:t>
      </w:r>
      <w:r>
        <w:rPr>
          <w:rStyle w:val="VerbatimChar"/>
        </w:rPr>
        <w:t xml:space="preserve">Poseidon2(owner_secret)</w:t>
      </w:r>
      <w:r>
        <w:t xml:space="preserve"> </w:t>
      </w:r>
      <w:r>
        <w:t xml:space="preserve">as a commitment. On recovery, the user generates a Noir/UltraHonk proof in the browser bound to a fully-specified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(account, network, contract, new pubkey with on-curve + canonical-limb checks, nonce, timelock duration). A new</w:t>
      </w:r>
      <w:r>
        <w:t xml:space="preserve"> </w:t>
      </w:r>
      <w:r>
        <w:rPr>
          <w:rStyle w:val="VerbatimChar"/>
        </w:rPr>
        <w:t xml:space="preserve">g2c-recovery-controller</w:t>
      </w:r>
      <w:r>
        <w:t xml:space="preserve"> </w:t>
      </w:r>
      <w:r>
        <w:t xml:space="preserve">contract holds the pending-rotation state machine; a separate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 </w:t>
      </w:r>
      <w:r>
        <w:t xml:space="preserve">(OZ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scoped to</w:t>
      </w:r>
      <w:r>
        <w:t xml:space="preserve"> </w:t>
      </w:r>
      <w:r>
        <w:rPr>
          <w:rStyle w:val="VerbatimChar"/>
        </w:rPr>
        <w:t xml:space="preserve">CallContract(self_addr)</w:t>
      </w:r>
      <w:r>
        <w:t xml:space="preserve">) blocks any signer eviction during the window. Cancellation requires both the WebAuthn signer AND a fresh seed-knowledge proof, capped at 2 cancels per recovery (closes the cancel-loop attack). Integration plugs into g2c's existing OZ</w:t>
      </w:r>
      <w:r>
        <w:t xml:space="preserve"> </w:t>
      </w:r>
      <w:r>
        <w:rPr>
          <w:rStyle w:val="VerbatimChar"/>
        </w:rPr>
        <w:t xml:space="preserve">do_check_auth</w:t>
      </w:r>
      <w:r>
        <w:t xml:space="preserve"> </w:t>
      </w:r>
      <w:r>
        <w:t xml:space="preserve">pipeline; no protocol changes.</w:t>
      </w:r>
    </w:p>
    <w:p>
      <w:pPr>
        <w:pStyle w:val="BodyText"/>
      </w:pPr>
      <w:r>
        <w:rPr>
          <w:b/>
        </w:rPr>
        <w:t xml:space="preserve">Pillar 2 — neftwerk: ZK privacy as a sector validator.</w:t>
      </w:r>
      <w:r>
        <w:t xml:space="preserve"> </w:t>
      </w:r>
      <w:r>
        <w:t xml:space="preserve">Neftwerk's ARTS-1 token standard for art on Stellar uses three Noir circuits —</w:t>
      </w:r>
      <w:r>
        <w:t xml:space="preserve"> </w:t>
      </w:r>
      <w:r>
        <w:rPr>
          <w:rStyle w:val="VerbatimChar"/>
        </w:rPr>
        <w:t xml:space="preserve">arts1_mint</w:t>
      </w:r>
      <w:r>
        <w:t xml:space="preserve"> </w:t>
      </w:r>
      <w:r>
        <w:t xml:space="preserve">(dual-ECDSA institutional + collector),</w:t>
      </w:r>
      <w:r>
        <w:t xml:space="preserve"> </w:t>
      </w:r>
      <w:r>
        <w:rPr>
          <w:rStyle w:val="VerbatimChar"/>
        </w:rPr>
        <w:t xml:space="preserve">arts1_ownership</w:t>
      </w:r>
      <w:r>
        <w:t xml:space="preserve"> </w:t>
      </w:r>
      <w:r>
        <w:t xml:space="preserve">(private transfer authority), and</w:t>
      </w:r>
      <w:r>
        <w:t xml:space="preserve"> </w:t>
      </w:r>
      <w:r>
        <w:rPr>
          <w:rStyle w:val="VerbatimChar"/>
        </w:rPr>
        <w:t xml:space="preserve">arts1_recovery</w:t>
      </w:r>
      <w:r>
        <w:t xml:space="preserve"> </w:t>
      </w:r>
      <w:r>
        <w:t xml:space="preserve">(the same primitive as Pillar 1 with token-id binding). Privacy model: "private title, public provenance."</w:t>
      </w:r>
    </w:p>
    <w:p>
      <w:pPr>
        <w:pStyle w:val="Heading2"/>
      </w:pPr>
      <w:bookmarkStart w:id="23" w:name="why-bundle"/>
      <w:r>
        <w:t xml:space="preserve">Why bundle</w:t>
      </w:r>
      <w:bookmarkEnd w:id="23"/>
    </w:p>
    <w:p>
      <w:pPr>
        <w:pStyle w:val="FirstParagraph"/>
      </w:pPr>
      <w:r>
        <w:t xml:space="preserve">One Noir + UltraHonk + Poseidon2 + BN254 + Soroban 25.x substrate. One verifier crate. One team. The recovery circuit is a</w:t>
      </w:r>
      <w:r>
        <w:t xml:space="preserve"> </w:t>
      </w:r>
      <w:r>
        <w:rPr>
          <w:b/>
        </w:rPr>
        <w:t xml:space="preserve">key-rotation primitive any Soroban Smart Account can adopt</w:t>
      </w:r>
      <w:r>
        <w:t xml:space="preserve">; neftwerk is the second consumer, not the only one. We estimate</w:t>
      </w:r>
      <w:r>
        <w:t xml:space="preserve"> </w:t>
      </w:r>
      <w:r>
        <w:rPr>
          <w:b/>
        </w:rPr>
        <w:t xml:space="preserve">~30–40% engineering shared</w:t>
      </w:r>
      <w:r>
        <w:t xml:space="preserve"> </w:t>
      </w:r>
      <w:r>
        <w:t xml:space="preserve">across the two tracks — concentrated in substrate work (verifier crate, browser SDK, Poseidon2 binding, OZ shim, audit RFP) rather than co-developed circuit/contract code.</w:t>
      </w:r>
      <w:r>
        <w:t xml:space="preserve"> </w:t>
      </w:r>
      <w:r>
        <w:rPr>
          <w:b/>
        </w:rPr>
        <w:t xml:space="preserve">Track A and Track B are disbursed independently</w:t>
      </w:r>
      <w:r>
        <w:t xml:space="preserve">: an A0 benchmark failure or Track B compliance gate does not affect Track A funding.</w:t>
      </w:r>
    </w:p>
    <w:p>
      <w:pPr>
        <w:pStyle w:val="Heading2"/>
      </w:pPr>
      <w:bookmarkStart w:id="24" w:name="evidence-we-can-ship-today"/>
      <w:r>
        <w:t xml:space="preserve">Evidence we can ship today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Testnet E2E (</w:t>
      </w:r>
      <w:r>
        <w:rPr>
          <w:rStyle w:val="VerbatimChar"/>
          <w:b/>
        </w:rPr>
        <w:t xml:space="preserve">soroban-zk-demo</w:t>
      </w:r>
      <w:r>
        <w:rPr>
          <w:b/>
        </w:rPr>
        <w:t xml:space="preserve">).</w:t>
      </w:r>
      <w:r>
        <w:t xml:space="preserve"> </w:t>
      </w:r>
      <w:r>
        <w:t xml:space="preserve">Browser generates Noir/UltraHonk proof; Soroban verifier contract validates on-chain.</w:t>
      </w:r>
      <w:r>
        <w:t xml:space="preserve"> </w:t>
      </w:r>
      <w:r>
        <w:rPr>
          <w:rStyle w:val="VerbatimChar"/>
        </w:rPr>
        <w:t xml:space="preserve">./test_e2e.sh</w:t>
      </w:r>
      <w:r>
        <w:t xml:space="preserve"> </w:t>
      </w:r>
      <w:r>
        <w:t xml:space="preserve">runs build → deploy → prove → verify on Stellar testnet.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Verifier crate (</w:t>
      </w:r>
      <w:r>
        <w:rPr>
          <w:rStyle w:val="VerbatimChar"/>
          <w:b/>
        </w:rPr>
        <w:t xml:space="preserve">rs-soroban-ultrahonk</w:t>
      </w:r>
      <w:r>
        <w:rPr>
          <w:b/>
        </w:rPr>
        <w:t xml:space="preserve">).</w:t>
      </w:r>
      <w:r>
        <w:t xml:space="preserve"> </w:t>
      </w:r>
      <w:r>
        <w:t xml:space="preserve">Standalone Soroban contract wrapping the UltraHonk verifier. VK ~1.9 KB, proof ~3.7 KB.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Nullifier-set + Merkle-frontier primitive.</w:t>
      </w:r>
      <w:r>
        <w:t xml:space="preserve"> </w:t>
      </w:r>
      <w:r>
        <w:t xml:space="preserve">Reference implementation with depth-20 tree, insertion proofs, and nullifier-set state — the substrate for revocation, replay protection, and future batched settlement.</w:t>
      </w:r>
    </w:p>
    <w:p>
      <w:pPr>
        <w:pStyle w:val="Heading2"/>
      </w:pPr>
      <w:bookmarkStart w:id="25" w:name="budget-and-milestones"/>
      <w:r>
        <w:t xml:space="preserve">Budget and milestones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Tranches (10/20/30/40)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A0 (shared)</w:t>
            </w:r>
          </w:p>
        </w:tc>
        <w:tc>
          <w:p>
            <w:pPr>
              <w:pStyle w:val="Compact"/>
              <w:jc w:val="left"/>
            </w:pPr>
            <w:r>
              <w:t xml:space="preserve">Pre-grant Soroban gas/CPU benchmark gate.</w:t>
            </w:r>
            <w:r>
              <w:t xml:space="preserve"> </w:t>
            </w:r>
            <w:r>
              <w:rPr>
                <w:b/>
              </w:rPr>
              <w:t xml:space="preserve">Pre-A0 (no fee): publish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arts1_mint_skeleton.nr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gate count.</w:t>
            </w:r>
            <w:r>
              <w:t xml:space="preserve"> </w:t>
            </w:r>
            <w:r>
              <w:t xml:space="preserve">Then A0a $15k (testnet</w:t>
            </w:r>
            <w:r>
              <w:t xml:space="preserve"> </w:t>
            </w:r>
            <w:r>
              <w:rPr>
                <w:rStyle w:val="VerbatimChar"/>
              </w:rPr>
              <w:t xml:space="preserve">verify_proof</w:t>
            </w:r>
            <w:r>
              <w:t xml:space="preserve"> </w:t>
            </w:r>
            <w:r>
              <w:t xml:space="preserve">numbers + Policy-with-cross-call benchmark + on-disk circuit aligned to spec) and A0b $15k (Groth16 comparison + browser benchmarks on iPhone 14 / Pixel 7 / 2020 MacBook Air)</w:t>
            </w:r>
          </w:p>
        </w:tc>
        <w:tc>
          <w:p>
            <w:pPr>
              <w:pStyle w:val="Compact"/>
              <w:jc w:val="left"/>
            </w:pPr>
            <w:r>
              <w:t xml:space="preserve">$30k split 50/50</w:t>
            </w:r>
          </w:p>
        </w:tc>
        <w:tc>
          <w:p>
            <w:pPr>
              <w:pStyle w:val="Compact"/>
              <w:jc w:val="left"/>
            </w:pPr>
            <w:r>
              <w:t xml:space="preserve">$30k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Track A — g2c recovery</w:t>
            </w:r>
          </w:p>
        </w:tc>
        <w:tc>
          <w:p>
            <w:pPr>
              <w:pStyle w:val="Compact"/>
              <w:jc w:val="left"/>
            </w:pPr>
            <w:r>
              <w:t xml:space="preserve">A1 spec + g2c-OZ shim → A2 verifier + named-org VK multi-sig + recovery-controller + recovery-guard-policy → A4 integration + cancel-loop tests → A5 browser UX + recovery-card → A6 audit-ready freeze + mainnet + signed integrator agreement</w:t>
            </w:r>
          </w:p>
        </w:tc>
        <w:tc>
          <w:p>
            <w:pPr>
              <w:pStyle w:val="Compact"/>
              <w:jc w:val="left"/>
            </w:pPr>
            <w:r>
              <w:t xml:space="preserve">$150k tranched</w:t>
            </w:r>
          </w:p>
        </w:tc>
        <w:tc>
          <w:p>
            <w:pPr>
              <w:pStyle w:val="Compact"/>
              <w:jc w:val="left"/>
            </w:pPr>
            <w:r>
              <w:t xml:space="preserve">$150k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Track B — neftwerk privacy</w:t>
            </w:r>
          </w:p>
        </w:tc>
        <w:tc>
          <w:p>
            <w:pPr>
              <w:pStyle w:val="Compact"/>
              <w:jc w:val="left"/>
            </w:pPr>
            <w:r>
              <w:t xml:space="preserve">B0–B7, gated on A0 pass + Pillar 2 compliance gates reviewed by a named SDF reviewer (B1 held until C1 in hand)</w:t>
            </w:r>
          </w:p>
        </w:tc>
        <w:tc>
          <w:p>
            <w:pPr>
              <w:pStyle w:val="Compact"/>
              <w:jc w:val="left"/>
            </w:pPr>
            <w:r>
              <w:t xml:space="preserve">$200k tranched</w:t>
            </w:r>
          </w:p>
        </w:tc>
        <w:tc>
          <w:p>
            <w:pPr>
              <w:pStyle w:val="Compact"/>
              <w:jc w:val="left"/>
            </w:pPr>
            <w:r>
              <w:t xml:space="preserve">$200k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14 weeks, ~3 FTE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$380k</w:t>
            </w:r>
          </w:p>
        </w:tc>
      </w:tr>
    </w:tbl>
    <w:p>
      <w:pPr>
        <w:pStyle w:val="BodyText"/>
      </w:pPr>
      <w:r>
        <w:t xml:space="preserve">Audit credits requested separately from SDF's standard pool:</w:t>
      </w:r>
      <w:r>
        <w:t xml:space="preserve"> </w:t>
      </w:r>
      <w:r>
        <w:rPr>
          <w:b/>
        </w:rPr>
        <w:t xml:space="preserve">circuit audit</w:t>
      </w:r>
      <w:r>
        <w:t xml:space="preserve"> </w:t>
      </w:r>
      <w:r>
        <w:t xml:space="preserve">(zkSecurity / Veridise / Spearbit ZK) and</w:t>
      </w:r>
      <w:r>
        <w:t xml:space="preserve"> </w:t>
      </w:r>
      <w:r>
        <w:rPr>
          <w:b/>
        </w:rPr>
        <w:t xml:space="preserve">contract audit</w:t>
      </w:r>
      <w:r>
        <w:t xml:space="preserve"> </w:t>
      </w:r>
      <w:r>
        <w:t xml:space="preserve">(OtterSec / Trail of Bits / Halborn) named separately, with a 4-week circuit freeze and 3-week contract freeze.</w:t>
      </w:r>
    </w:p>
    <w:p>
      <w:pPr>
        <w:pStyle w:val="BodyText"/>
      </w:pPr>
      <w:r>
        <w:rPr>
          <w:b/>
        </w:rPr>
        <w:t xml:space="preserve">We're requesting a 30-minute technical review with the SDF protocol team to walk through the appendix, A0 benchmark plan, and milestone gating.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Repos:</w:t>
      </w:r>
      <w:r>
        <w:t xml:space="preserve"> </w:t>
      </w:r>
      <w:r>
        <w:rPr>
          <w:rStyle w:val="VerbatimChar"/>
        </w:rPr>
        <w:t xml:space="preserve">g2c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zk/rs-soroban-ultrahonk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zk/soroban-zk-demo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zk/neftwerk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SDF_PROPOSAL_TECHNICAL_APPENDIX.md</w:t>
      </w:r>
      <w:r>
        <w:t xml:space="preserve"> </w:t>
      </w:r>
      <w:r>
        <w:t xml:space="preserve">for full architecture, recovery state machine, VK governance design, threat model, and Pillar 2 compliance gating.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2026-05-07T13:13:24Z</dcterms:created>
  <dcterms:modified xsi:type="dcterms:W3CDTF">2026-05-07T13:13:24Z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