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line="312" w:lineRule="auto"/>
        <w:jc w:val="center"/>
      </w:pPr>
      <w:r>
        <w:rPr>
          <w:rFonts w:ascii="Times New Roman" w:hAnsi="Times New Roman"/>
          <w:b/>
          <w:i w:val="0"/>
          <w:color w:val="000000"/>
          <w:sz w:val="24"/>
        </w:rPr>
        <w:t>NATIONAL UNIVERSITY OF COMPUTER &amp; EMERGING SCIENCES</w:t>
        <w:br/>
        <w:t>FAST-NUCES, ISLAMABAD CAMPUS</w:t>
        <w:br/>
        <w:t>DEPARTMENT OF COMPUTER SCIENCE</w:t>
      </w:r>
    </w:p>
    <w:p>
      <w:pPr>
        <w:spacing w:before="0" w:after="600" w:line="276" w:lineRule="auto"/>
        <w:jc w:val="center"/>
      </w:pPr>
      <w:r>
        <w:rPr>
          <w:rFonts w:ascii="Times New Roman" w:hAnsi="Times New Roman"/>
          <w:b w:val="0"/>
          <w:i w:val="0"/>
          <w:color w:val="000000"/>
          <w:sz w:val="22"/>
        </w:rPr>
        <w:t>______________________________________________________________________</w:t>
      </w:r>
    </w:p>
    <w:p>
      <w:pPr>
        <w:spacing w:before="200" w:after="320" w:line="276" w:lineRule="auto"/>
        <w:jc w:val="center"/>
      </w:pPr>
      <w:r>
        <w:rPr>
          <w:rFonts w:ascii="Times New Roman" w:hAnsi="Times New Roman"/>
          <w:b/>
          <w:i w:val="0"/>
          <w:color w:val="000000"/>
          <w:sz w:val="26"/>
        </w:rPr>
        <w:t>CS-4063: DEEP LEARNING FOR PERCEPTION — FALL 2024</w:t>
      </w:r>
    </w:p>
    <w:p>
      <w:pPr>
        <w:spacing w:before="320" w:after="720" w:line="288" w:lineRule="auto"/>
        <w:jc w:val="center"/>
      </w:pPr>
      <w:r>
        <w:rPr>
          <w:rFonts w:ascii="Times New Roman" w:hAnsi="Times New Roman"/>
          <w:b/>
          <w:i w:val="0"/>
          <w:color w:val="000000"/>
          <w:sz w:val="30"/>
        </w:rPr>
        <w:t>ASSIGNMENT 2 — SECTION B REPORT</w:t>
        <w:br/>
        <w:br/>
        <w:t>ROBUST MULTI-SCALE INCEPTION NETWORK FOR SAMPLE-CONSTRAINED CIFAR-10 CLASSIFICATION UNDER DISTRIBUTION SHIFT</w:t>
      </w:r>
    </w:p>
    <w:p>
      <w:pPr>
        <w:spacing w:before="480" w:after="720" w:line="336" w:lineRule="auto"/>
        <w:jc w:val="center"/>
      </w:pPr>
      <w:r>
        <w:rPr>
          <w:rFonts w:ascii="Times New Roman" w:hAnsi="Times New Roman"/>
          <w:b w:val="0"/>
          <w:i w:val="0"/>
          <w:color w:val="000000"/>
          <w:sz w:val="24"/>
        </w:rPr>
        <w:t>Candidate Name: Muhammad Ajmal Razaq</w:t>
        <w:br/>
        <w:t>Roll Number: 23F-0524</w:t>
        <w:br/>
        <w:t>Section: Section B</w:t>
        <w:br/>
        <w:t>Instructor: Department of Computer Science, FAST-NUCES</w:t>
        <w:br/>
        <w:t>Source Repository: https://github.com/theajmalrazaq/dlpass</w:t>
        <w:br/>
        <w:t>Date of Submission: October 2024</w:t>
      </w:r>
    </w:p>
    <w:p>
      <w:pPr>
        <w:spacing w:before="400" w:after="400" w:line="276" w:lineRule="auto"/>
        <w:jc w:val="center"/>
      </w:pPr>
      <w:r>
        <w:rPr>
          <w:rFonts w:ascii="Times New Roman" w:hAnsi="Times New Roman"/>
          <w:b w:val="0"/>
          <w:i w:val="0"/>
          <w:color w:val="000000"/>
          <w:sz w:val="22"/>
        </w:rPr>
        <w:t>______________________________________________________________________</w:t>
      </w:r>
    </w:p>
    <w:p>
      <w:r>
        <w:br w:type="page"/>
      </w:r>
    </w:p>
    <w:p>
      <w:pPr>
        <w:spacing w:before="280" w:after="80" w:line="276" w:lineRule="auto"/>
        <w:jc w:val="left"/>
      </w:pPr>
      <w:r>
        <w:rPr>
          <w:rFonts w:ascii="Times New Roman" w:hAnsi="Times New Roman"/>
          <w:b/>
          <w:i w:val="0"/>
          <w:color w:val="000000"/>
          <w:sz w:val="28"/>
        </w:rPr>
        <w:t>1. Executive Summary &amp; Required Deliverables</w:t>
      </w:r>
    </w:p>
    <w:p>
      <w:pPr>
        <w:spacing w:before="0" w:after="120" w:line="276" w:lineRule="auto"/>
      </w:pPr>
      <w:r>
        <w:rPr>
          <w:rFonts w:ascii="Times New Roman" w:hAnsi="Times New Roman"/>
          <w:color w:val="000000"/>
          <w:sz w:val="24"/>
        </w:rPr>
        <w:t>This report documents the architectural design, empirical ablation matrix, and failure diagnosis for Section B of Assignment 2. The task evaluates deep model generalization under extreme data scarcity (exactly 400 clean training instances, 40 per class) when evaluated against severe test-time distribution shifts (10,000 corrupted images featuring seeded rotation, brightness/contrast degradation, 25% rectangular occlusion, and defocus blur).</w:t>
      </w:r>
    </w:p>
    <w:p>
      <w:pPr>
        <w:spacing w:before="120" w:after="80" w:line="276" w:lineRule="auto"/>
        <w:jc w:val="center"/>
      </w:pPr>
      <w:r>
        <w:rPr>
          <w:rFonts w:ascii="Times New Roman" w:hAnsi="Times New Roman"/>
          <w:b w:val="0"/>
          <w:i w:val="0"/>
          <w:color w:val="000000"/>
          <w:sz w:val="22"/>
        </w:rPr>
        <w:t>Key Experimental Deliverables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Final Shifted Test Accuracy:</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23.16 ± 0.67% (Seed 42: 22.46%)</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Optimal Configuration:</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Final Model (Geometric + Photometric + Cutout + Mixup + Label Smoothing)</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Single Most Effective Change:</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Cutout / Random Erasing (+3.13% gain over combo, matching 25% occlusion)</w:t>
            </w:r>
          </w:p>
        </w:tc>
      </w:tr>
      <w:tr>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i w:val="0"/>
                <w:color w:val="000000"/>
                <w:sz w:val="21"/>
              </w:rPr>
              <w:t>GitHub Repository Link:</w:t>
            </w:r>
          </w:p>
        </w:tc>
        <w:tc>
          <w:tcPr>
            <w:tcW w:type="dxa" w:w="4680"/>
            <w:tcBorders>
              <w:top w:val="single" w:sz="4" w:space="0" w:color="000000"/>
              <w:left w:val="single" w:sz="4" w:space="0" w:color="000000"/>
              <w:bottom w:val="single" w:sz="4" w:space="0" w:color="000000"/>
              <w:right w:val="single" w:sz="4" w:space="0" w:color="000000"/>
              <w:insideH w:val="none"/>
              <w:insideV w:val="none"/>
            </w:tcBorders>
          </w:tcPr>
          <w:p>
            <w:pPr>
              <w:spacing w:before="40" w:after="40" w:line="276" w:lineRule="auto"/>
              <w:jc w:val="left"/>
            </w:pPr>
            <w:r>
              <w:rPr>
                <w:rFonts w:ascii="Times New Roman" w:hAnsi="Times New Roman"/>
                <w:b w:val="0"/>
                <w:i w:val="0"/>
                <w:color w:val="000000"/>
                <w:sz w:val="21"/>
              </w:rPr>
              <w:t>https://github.com/theajmalrazaq/dlpass</w:t>
            </w:r>
          </w:p>
        </w:tc>
      </w:tr>
    </w:tbl>
    <w:p>
      <w:pPr>
        <w:spacing w:before="0" w:after="120" w:line="276" w:lineRule="auto"/>
      </w:pPr>
      <w:r>
        <w:rPr>
          <w:rFonts w:ascii="Times New Roman" w:hAnsi="Times New Roman"/>
          <w:color w:val="000000"/>
          <w:sz w:val="24"/>
        </w:rPr>
        <w:t>Our engineered architecture, MultiScaleInceptionNet, contains exactly 91,618 trainable parameters—consuming merely ~11.8% of the 1,000,000 parameter allowance. Below, we provide comprehensive answers to Parts A through F.</w:t>
      </w:r>
    </w:p>
    <w:p>
      <w:pPr>
        <w:spacing w:before="280" w:after="80" w:line="276" w:lineRule="auto"/>
        <w:jc w:val="left"/>
      </w:pPr>
      <w:r>
        <w:rPr>
          <w:rFonts w:ascii="Times New Roman" w:hAnsi="Times New Roman"/>
          <w:b/>
          <w:i w:val="0"/>
          <w:color w:val="000000"/>
          <w:sz w:val="28"/>
        </w:rPr>
        <w:t>2. Part A: Baseline Execution &amp; Failure Diagnosis</w:t>
      </w:r>
    </w:p>
    <w:p>
      <w:pPr>
        <w:spacing w:before="0" w:after="120" w:line="276" w:lineRule="auto"/>
      </w:pPr>
      <w:r>
        <w:rPr>
          <w:rFonts w:ascii="Times New Roman" w:hAnsi="Times New Roman"/>
          <w:color w:val="000000"/>
          <w:sz w:val="24"/>
        </w:rPr>
        <w:t>The baseline network is trained on the 400 clean images with no data augmentation using random seed 42. Training employs AdamW with weight decay 3e-4 and a cosine annealing learning rate schedule for 45 epochs.</w:t>
        <w:br/>
        <w:t>- Training Accuracy: 100.00%</w:t>
        <w:br/>
        <w:t>- Validation Accuracy: 51.00%</w:t>
        <w:br/>
        <w:t>- Clean Test Accuracy: 44.44%</w:t>
        <w:br/>
        <w:t>- Shifted Test Accuracy: 13.91%</w:t>
        <w:br/>
        <w:t>- Generalization Gap (Clean minus Shifted): 30.53%</w:t>
      </w:r>
    </w:p>
    <w:p>
      <w:pPr>
        <w:spacing w:before="120" w:after="40"/>
        <w:jc w:val="center"/>
      </w:pPr>
      <w:r>
        <w:drawing>
          <wp:inline xmlns:a="http://schemas.openxmlformats.org/drawingml/2006/main" xmlns:pic="http://schemas.openxmlformats.org/drawingml/2006/picture">
            <wp:extent cx="5486400" cy="2214694"/>
            <wp:docPr id="1" name="Picture 1"/>
            <wp:cNvGraphicFramePr>
              <a:graphicFrameLocks noChangeAspect="1"/>
            </wp:cNvGraphicFramePr>
            <a:graphic>
              <a:graphicData uri="http://schemas.openxmlformats.org/drawingml/2006/picture">
                <pic:pic>
                  <pic:nvPicPr>
                    <pic:cNvPr id="0" name="fig1_baseline.png"/>
                    <pic:cNvPicPr/>
                  </pic:nvPicPr>
                  <pic:blipFill>
                    <a:blip r:embed="rId9"/>
                    <a:stretch>
                      <a:fillRect/>
                    </a:stretch>
                  </pic:blipFill>
                  <pic:spPr>
                    <a:xfrm>
                      <a:off x="0" y="0"/>
                      <a:ext cx="5486400" cy="2214694"/>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1: Baseline MultiScaleInceptionNet convergence trajectories on 400 clean training samples. Left: Cross-entropy loss. Right: Classification accuracy.</w:t>
      </w:r>
    </w:p>
    <w:p>
      <w:pPr>
        <w:spacing w:before="200" w:after="60" w:line="276" w:lineRule="auto"/>
        <w:jc w:val="left"/>
      </w:pPr>
      <w:r>
        <w:rPr>
          <w:rFonts w:ascii="Times New Roman" w:hAnsi="Times New Roman"/>
          <w:b/>
          <w:i w:val="0"/>
          <w:color w:val="000000"/>
          <w:sz w:val="24"/>
        </w:rPr>
        <w:t>Diagnostic Explanation of the Gap (3-4 Lines):</w:t>
      </w:r>
    </w:p>
    <w:p>
      <w:pPr>
        <w:spacing w:before="0" w:after="120" w:line="276" w:lineRule="auto"/>
      </w:pPr>
      <w:r>
        <w:rPr>
          <w:rFonts w:ascii="Times New Roman" w:hAnsi="Times New Roman"/>
          <w:color w:val="000000"/>
          <w:sz w:val="24"/>
        </w:rPr>
        <w:t>The stark disparity between clean-test accuracy and shifted-test accuracy stems from a catastrophic combination of extreme overfitting and severe covariate shift. With only 400 clean images, the model memorizes idiosyncratic pixel shortcuts rather than invariant class semantics, driving training accuracy to near 100%. When exposed to the shifted test set, synthetic rotation, sensor noise, 25% rectangular occlusion, and defocus blur erase those high-frequency pixel shortcuts, causing representations to collapse down toward random chance (~10-13%).</w:t>
      </w:r>
    </w:p>
    <w:p>
      <w:pPr>
        <w:spacing w:before="280" w:after="80" w:line="276" w:lineRule="auto"/>
        <w:jc w:val="left"/>
      </w:pPr>
      <w:r>
        <w:rPr>
          <w:rFonts w:ascii="Times New Roman" w:hAnsi="Times New Roman"/>
          <w:b/>
          <w:i w:val="0"/>
          <w:color w:val="000000"/>
          <w:sz w:val="28"/>
        </w:rPr>
        <w:t>3. Part B: Augmentation Strategy Design &amp; Critical Inquiries</w:t>
      </w:r>
    </w:p>
    <w:p>
      <w:pPr>
        <w:spacing w:before="0" w:after="120" w:line="276" w:lineRule="auto"/>
      </w:pPr>
      <w:r>
        <w:rPr>
          <w:rFonts w:ascii="Times New Roman" w:hAnsi="Times New Roman"/>
          <w:color w:val="000000"/>
          <w:sz w:val="24"/>
        </w:rPr>
        <w:t>To establish robustness against composite distribution shifts, we assemble a staged augmentation pipeline consisting of random reflective cropping (32x32 with padding 4), horizontal mirroring (p=0.5), bounded in-plane rotation (+/-25 degrees), photometric color jitter (brightness, contrast, saturation), Gaussian defocus blur, additive sensor noise, Cutout/Random Erasing, and Mixup blending with label smoothing.</w:t>
      </w:r>
    </w:p>
    <w:p>
      <w:pPr>
        <w:spacing w:before="200" w:after="60" w:line="276" w:lineRule="auto"/>
        <w:jc w:val="left"/>
      </w:pPr>
      <w:r>
        <w:rPr>
          <w:rFonts w:ascii="Times New Roman" w:hAnsi="Times New Roman"/>
          <w:b/>
          <w:i w:val="0"/>
          <w:color w:val="000000"/>
          <w:sz w:val="24"/>
        </w:rPr>
        <w:t>Question 1: Would vertical flip help or hurt on CIFAR-10? Why?</w:t>
      </w:r>
    </w:p>
    <w:p>
      <w:pPr>
        <w:spacing w:before="0" w:after="120" w:line="276" w:lineRule="auto"/>
      </w:pPr>
      <w:r>
        <w:rPr>
          <w:rFonts w:ascii="Times New Roman" w:hAnsi="Times New Roman"/>
          <w:color w:val="000000"/>
          <w:sz w:val="24"/>
        </w:rPr>
        <w:t>Vertical flipping unequivocally hurts classification performance on CIFAR-10. Visual objects in CIFAR-10 are overwhelmingly terrestrial and constrained by natural gravity (automobiles, trucks, horses, dogs, frogs, ships, airplanes). In real-world observation, skies appear above and road surfaces or ground planes appear below. Inverting images upside down generates physically implausible visual geometries that are absent from both the clean and shifted test distributions. Forcing a capacity-constrained network trained on merely 400 samples to learn vertical orientation invariance misallocates representational capacity and degrades decision boundaries.</w:t>
      </w:r>
    </w:p>
    <w:p>
      <w:pPr>
        <w:spacing w:before="200" w:after="60" w:line="276" w:lineRule="auto"/>
        <w:jc w:val="left"/>
      </w:pPr>
      <w:r>
        <w:rPr>
          <w:rFonts w:ascii="Times New Roman" w:hAnsi="Times New Roman"/>
          <w:b/>
          <w:i w:val="0"/>
          <w:color w:val="000000"/>
          <w:sz w:val="24"/>
        </w:rPr>
        <w:t>Question 2: If you augment with rotation up to +/-90 degrees but the test only has +/-25 degrees, what is the trade-off?</w:t>
      </w:r>
    </w:p>
    <w:p>
      <w:pPr>
        <w:spacing w:before="0" w:after="120" w:line="276" w:lineRule="auto"/>
      </w:pPr>
      <w:r>
        <w:rPr>
          <w:rFonts w:ascii="Times New Roman" w:hAnsi="Times New Roman"/>
          <w:color w:val="000000"/>
          <w:sz w:val="24"/>
        </w:rPr>
        <w:t>The trade-off balances geometric invariance against feature specificity. Augmenting up to +/-90 degrees forces the network to learn rotational invariance across unnatural perpendicular perspectives (e.g., vertical cars or horizontal standing animals). While this expands mathematical invariance, it dilutes the canonical upright representations required for clean CIFAR-10 classification. Because the shifted test set contains rotations bounded strictly within +/-25 degrees, augmenting up to +/-90 degrees wastes parameter capacity on irrelevant extremes and induces severe underfitting on canonical upright test samples.</w:t>
      </w:r>
    </w:p>
    <w:p>
      <w:pPr>
        <w:spacing w:before="200" w:after="60" w:line="276" w:lineRule="auto"/>
        <w:jc w:val="left"/>
      </w:pPr>
      <w:r>
        <w:rPr>
          <w:rFonts w:ascii="Times New Roman" w:hAnsi="Times New Roman"/>
          <w:b/>
          <w:i w:val="0"/>
          <w:color w:val="000000"/>
          <w:sz w:val="24"/>
        </w:rPr>
        <w:t>Question 3: Why can too much augmentation reduce accuracy on such a small model?</w:t>
      </w:r>
    </w:p>
    <w:p>
      <w:pPr>
        <w:spacing w:before="0" w:after="120" w:line="276" w:lineRule="auto"/>
      </w:pPr>
      <w:r>
        <w:rPr>
          <w:rFonts w:ascii="Times New Roman" w:hAnsi="Times New Roman"/>
          <w:color w:val="000000"/>
          <w:sz w:val="24"/>
        </w:rPr>
        <w:t>When a model possesses limited parameter capacity (such as our 118k MultiScaleInceptionNet) and is constrained to 400 training exemplars, compounding heavy augmentations simultaneously (severe rotation, aggressive cropping, high cutout ratios, and strong noise) obliterates recognizable class semantics faster than the network can discover invariant prototypes. Instead of learning robust abstractions, the small model experiences underfitting because the effective training distribution becomes too diffuse and noisy for its limited representational capacity.</w:t>
      </w:r>
    </w:p>
    <w:p>
      <w:pPr>
        <w:spacing w:before="280" w:after="80" w:line="276" w:lineRule="auto"/>
        <w:jc w:val="left"/>
      </w:pPr>
      <w:r>
        <w:rPr>
          <w:rFonts w:ascii="Times New Roman" w:hAnsi="Times New Roman"/>
          <w:b/>
          <w:i w:val="0"/>
          <w:color w:val="000000"/>
          <w:sz w:val="28"/>
        </w:rPr>
        <w:t>4. Part C: Regularization &amp; Training Architecture Design</w:t>
      </w:r>
    </w:p>
    <w:p>
      <w:pPr>
        <w:spacing w:before="0" w:after="120" w:line="276" w:lineRule="auto"/>
      </w:pPr>
      <w:r>
        <w:rPr>
          <w:rFonts w:ascii="Times New Roman" w:hAnsi="Times New Roman"/>
          <w:color w:val="000000"/>
          <w:sz w:val="24"/>
        </w:rPr>
        <w:t>To prevent co-adaptation without suffocating gradient flow, regularization mechanisms are placed systematically across the architecture:</w:t>
        <w:br/>
        <w:br/>
        <w:t>1. Dropout (p = 0.4): Placed in the dense classifier head immediately following Global Average Pooling (GAP). Dropout is intentionally omitted between early convolutional layers because spatial pixel correlation allows neighboring activations to easily reconstruct dropped units, rendering early dropout ineffective while impairing feature extraction. After GAP, spatial dimensions are collapsed into a distilled 192-dimensional vector of global semantic cues, where dropout effectively breaks neuron co-adaptation.</w:t>
        <w:br/>
        <w:br/>
        <w:t>2. Batch Normalization (2D &amp; 1D): Integrated after every convolution and the intermediate dense projection. It smooths the optimization landscape, standardizes mini-batch distributions, and prevents vanishing/exploding gradients during small-batch training.</w:t>
        <w:br/>
        <w:br/>
        <w:t>3. Weight Decay (3e-4): Enforces an L2 penalty on network weights within AdamW, suppressing runaway weight magnitudes and discouraging brittle memorization.</w:t>
        <w:br/>
        <w:br/>
        <w:t>4. Learning Rate Scheduling: A Cosine Annealing scheduler smoothly decays the learning rate from 3e-3 to 1e-5 across epochs, enabling rapid early exploration followed by refined parameter convergence.</w:t>
        <w:br/>
        <w:br/>
        <w:t>5. Early Stopping (Patience = 15): Monitors validation accuracy on the 100-sample validation split, saving optimal weights and halting training if validation performance plateaus after epoch 25.</w:t>
        <w:br/>
        <w:br/>
        <w:t>6. Label Smoothing (alpha = 0.1): Replaces hard one-hot Dirac targets with smoothed distributions, penalizing overconfident logit peaks and softening decision boundaries against corrupted inputs.</w:t>
      </w:r>
    </w:p>
    <w:p>
      <w:pPr>
        <w:spacing w:before="280" w:after="80" w:line="276" w:lineRule="auto"/>
        <w:jc w:val="left"/>
      </w:pPr>
      <w:r>
        <w:rPr>
          <w:rFonts w:ascii="Times New Roman" w:hAnsi="Times New Roman"/>
          <w:b/>
          <w:i w:val="0"/>
          <w:color w:val="000000"/>
          <w:sz w:val="28"/>
        </w:rPr>
        <w:t>5. Part D: Mandatory Ablation Study Across 7 Configurations</w:t>
      </w:r>
    </w:p>
    <w:p>
      <w:pPr>
        <w:spacing w:before="0" w:after="120" w:line="276" w:lineRule="auto"/>
      </w:pPr>
      <w:r>
        <w:rPr>
          <w:rFonts w:ascii="Times New Roman" w:hAnsi="Times New Roman"/>
          <w:color w:val="000000"/>
          <w:sz w:val="24"/>
        </w:rPr>
        <w:t>Table 1 presents the empirical evaluation across all seven prescribed configurations. All metrics are computed as the sample mean +/- standard deviation across three independent deterministic seeds (42, 123, 999). Parameter count is constant at 118,338 across all variants.</w:t>
      </w:r>
    </w:p>
    <w:p>
      <w:pPr>
        <w:spacing w:before="80" w:after="120" w:line="276" w:lineRule="auto"/>
        <w:jc w:val="center"/>
      </w:pPr>
      <w:r>
        <w:rPr>
          <w:rFonts w:ascii="Times New Roman" w:hAnsi="Times New Roman"/>
          <w:b w:val="0"/>
          <w:i w:val="0"/>
          <w:color w:val="000000"/>
          <w:sz w:val="22"/>
        </w:rPr>
        <w:t>Table 1: Ablation Study Results on CIFAR-10 Across 3 Deterministic Seeds (42, 123, 999)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Configuration</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Parameters</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Val Acc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Clean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Shifted Test (%)</w:t>
            </w:r>
          </w:p>
        </w:tc>
        <w:tc>
          <w:tcPr>
            <w:tcW w:type="dxa" w:w="1560"/>
            <w:tcBorders>
              <w:top w:val="single" w:sz="8" w:space="0" w:color="000000"/>
              <w:left w:val="none"/>
              <w:bottom w:val="single" w:sz="6" w:space="0" w:color="000000"/>
              <w:right w:val="none"/>
              <w:insideH w:val="none"/>
              <w:insideV w:val="none"/>
            </w:tcBorders>
          </w:tcPr>
          <w:p>
            <w:pPr>
              <w:spacing w:before="40" w:after="40" w:line="276" w:lineRule="auto"/>
              <w:jc w:val="center"/>
            </w:pPr>
            <w:r>
              <w:rPr>
                <w:rFonts w:ascii="Times New Roman" w:hAnsi="Times New Roman"/>
                <w:b/>
                <w:i w:val="0"/>
                <w:color w:val="000000"/>
                <w:sz w:val="19"/>
              </w:rPr>
              <w:t>Robustness Drop (Δ)</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No augmentation</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53.7 ± 1.9</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43.41 ± 0.74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15.25 ± 1.78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28.16 ± 2.36</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53.3 ± 1.2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43.56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19.26 ± 1.27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24.30 ± 0.59</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Photometric only</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51.7 ± 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40.73 ± 2.05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17.97 ± 0.58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22.76 ± 1.85</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Geometric + photometric</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50.0 ± 2.4</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38.70 ± 1.55</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19.95 ± 1.97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18.75 ± 2.74</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Cutout / Random Erasing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46.3 ± 4.2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38.51 ± 0.71</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23.08 ± 3.62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15.43 ± 3.00</w:t>
            </w:r>
          </w:p>
        </w:tc>
      </w:tr>
      <w:tr>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 Mixup or CutMix + label smoothing</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2"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r>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left"/>
            </w:pPr>
            <w:r>
              <w:rPr>
                <w:rFonts w:ascii="Times New Roman" w:hAnsi="Times New Roman"/>
                <w:b w:val="0"/>
                <w:i w:val="0"/>
                <w:color w:val="000000"/>
                <w:sz w:val="19"/>
              </w:rPr>
              <w:t>Final model</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91,618</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44.0 ± 2.2</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37.12 ± 0.20</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23.16 ± 0.67</w:t>
            </w:r>
          </w:p>
        </w:tc>
        <w:tc>
          <w:tcPr>
            <w:tcW w:type="dxa" w:w="1560"/>
            <w:tcBorders>
              <w:top w:val="single" w:sz="2" w:space="0" w:color="000000"/>
              <w:left w:val="none"/>
              <w:bottom w:val="single" w:sz="8" w:space="0" w:color="000000"/>
              <w:right w:val="none"/>
              <w:insideH w:val="none"/>
              <w:insideV w:val="none"/>
            </w:tcBorders>
          </w:tcPr>
          <w:p>
            <w:pPr>
              <w:spacing w:before="40" w:after="40" w:line="276" w:lineRule="auto"/>
              <w:jc w:val="center"/>
            </w:pPr>
            <w:r>
              <w:rPr>
                <w:rFonts w:ascii="Times New Roman" w:hAnsi="Times New Roman"/>
                <w:b w:val="0"/>
                <w:i w:val="0"/>
                <w:color w:val="000000"/>
                <w:sz w:val="19"/>
              </w:rPr>
              <w:t>13.97 ± 0.75</w:t>
            </w:r>
          </w:p>
        </w:tc>
      </w:tr>
    </w:tbl>
    <w:p>
      <w:pPr>
        <w:spacing w:before="200" w:after="60" w:line="276" w:lineRule="auto"/>
        <w:jc w:val="left"/>
      </w:pPr>
      <w:r>
        <w:rPr>
          <w:rFonts w:ascii="Times New Roman" w:hAnsi="Times New Roman"/>
          <w:b/>
          <w:i w:val="0"/>
          <w:color w:val="000000"/>
          <w:sz w:val="24"/>
        </w:rPr>
        <w:t>Analysis of the Largest Gain Contributor:</w:t>
      </w:r>
    </w:p>
    <w:p>
      <w:pPr>
        <w:spacing w:before="0" w:after="120" w:line="276" w:lineRule="auto"/>
      </w:pPr>
      <w:r>
        <w:rPr>
          <w:rFonts w:ascii="Times New Roman" w:hAnsi="Times New Roman"/>
          <w:color w:val="000000"/>
          <w:sz w:val="24"/>
        </w:rPr>
        <w:t>Among all individual augmentations, Cutout / Random Erasing provided the single largest performance leap on the shifted test set. Adding Cutout elevated shifted test accuracy substantially over the geometric+photometric baseline. This gain directly corresponds to the composition of the shifted test pipeline: approximately 25% of each corrupted test image is masked by a blank rectangular occlusion (16x16 pixels). When trained without occlusion masking, standard convolutional networks rely on solitary localized features (such as a vehicle wheel or animal eye); when that feature is occluded, the network fails completely. Cutout forces the network during training to identify distributed, holistic visual representations across multiple regions, directly inoculating it against test-time occlusions.</w:t>
      </w:r>
    </w:p>
    <w:p>
      <w:pPr>
        <w:spacing w:before="280" w:after="80" w:line="276" w:lineRule="auto"/>
        <w:jc w:val="left"/>
      </w:pPr>
      <w:r>
        <w:rPr>
          <w:rFonts w:ascii="Times New Roman" w:hAnsi="Times New Roman"/>
          <w:b/>
          <w:i w:val="0"/>
          <w:color w:val="000000"/>
          <w:sz w:val="28"/>
        </w:rPr>
        <w:t>6. Part E: Error Analysis &amp; Diagnostic Dissection</w:t>
      </w:r>
    </w:p>
    <w:p>
      <w:pPr>
        <w:spacing w:before="0" w:after="120" w:line="276" w:lineRule="auto"/>
      </w:pPr>
      <w:r>
        <w:rPr>
          <w:rFonts w:ascii="Times New Roman" w:hAnsi="Times New Roman"/>
          <w:color w:val="000000"/>
          <w:sz w:val="24"/>
        </w:rPr>
        <w:t>Evaluation of the Final Model on Seed 42 confirms balanced multi-distribution robustness:</w:t>
        <w:br/>
        <w:t>- Clean Test Accuracy: 36.99%</w:t>
        <w:br/>
        <w:t>- Shifted Test Accuracy: 22.46%</w:t>
        <w:br/>
        <w:t>- Hidden-Corruption Test Accuracy (Defocus Blur): 33.27%</w:t>
      </w:r>
    </w:p>
    <w:p>
      <w:pPr>
        <w:spacing w:before="120" w:after="40"/>
        <w:jc w:val="center"/>
      </w:pPr>
      <w:r>
        <w:drawing>
          <wp:inline xmlns:a="http://schemas.openxmlformats.org/drawingml/2006/main" xmlns:pic="http://schemas.openxmlformats.org/drawingml/2006/picture">
            <wp:extent cx="5486400" cy="2400851"/>
            <wp:docPr id="2" name="Picture 2"/>
            <wp:cNvGraphicFramePr>
              <a:graphicFrameLocks noChangeAspect="1"/>
            </wp:cNvGraphicFramePr>
            <a:graphic>
              <a:graphicData uri="http://schemas.openxmlformats.org/drawingml/2006/picture">
                <pic:pic>
                  <pic:nvPicPr>
                    <pic:cNvPr id="0" name="fig2_cm.png"/>
                    <pic:cNvPicPr/>
                  </pic:nvPicPr>
                  <pic:blipFill>
                    <a:blip r:embed="rId10"/>
                    <a:stretch>
                      <a:fillRect/>
                    </a:stretch>
                  </pic:blipFill>
                  <pic:spPr>
                    <a:xfrm>
                      <a:off x="0" y="0"/>
                      <a:ext cx="5486400" cy="2400851"/>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2: Normalized confusion matrices for MultiScaleInceptionNet. Left: Pristine clean test set. Right: Shifted test set under composite corruptions.</w:t>
      </w:r>
    </w:p>
    <w:p>
      <w:pPr>
        <w:spacing w:before="200" w:after="60" w:line="276" w:lineRule="auto"/>
        <w:jc w:val="left"/>
      </w:pPr>
      <w:r>
        <w:rPr>
          <w:rFonts w:ascii="Times New Roman" w:hAnsi="Times New Roman"/>
          <w:b/>
          <w:i w:val="0"/>
          <w:color w:val="000000"/>
          <w:sz w:val="24"/>
        </w:rPr>
        <w:t>Most Confused Classes and Underpinning Causes:</w:t>
      </w:r>
    </w:p>
    <w:p>
      <w:pPr>
        <w:spacing w:before="0" w:after="120" w:line="276" w:lineRule="auto"/>
      </w:pPr>
      <w:r>
        <w:rPr>
          <w:rFonts w:ascii="Times New Roman" w:hAnsi="Times New Roman"/>
          <w:color w:val="000000"/>
          <w:sz w:val="24"/>
        </w:rPr>
        <w:t>1. Cat vs. Dog: These two classes experience the highest mutual confusion under distribution shift. At 32x32 resolution, both categories share quadrupedal anatomy, similar torso aspect ratios, and furry textures. When high-frequency facial textures are erased by Gaussian noise and defocus blur, the network is unable to resolve subtle ear and snout geometry.</w:t>
        <w:br/>
        <w:t>2. Automobile vs. Truck: Heavy rectangular occlusion often blankets the cargo bed of trucks or the hood of cars. When the defining cargo bed landmark is masked, rectangular metallic vehicle silhouettes become virtually indistinguishable to the model.</w:t>
      </w:r>
    </w:p>
    <w:p>
      <w:pPr>
        <w:spacing w:before="120" w:after="40"/>
        <w:jc w:val="center"/>
      </w:pPr>
      <w:r>
        <w:drawing>
          <wp:inline xmlns:a="http://schemas.openxmlformats.org/drawingml/2006/main" xmlns:pic="http://schemas.openxmlformats.org/drawingml/2006/picture">
            <wp:extent cx="5486400" cy="2807876"/>
            <wp:docPr id="3" name="Picture 3"/>
            <wp:cNvGraphicFramePr>
              <a:graphicFrameLocks noChangeAspect="1"/>
            </wp:cNvGraphicFramePr>
            <a:graphic>
              <a:graphicData uri="http://schemas.openxmlformats.org/drawingml/2006/picture">
                <pic:pic>
                  <pic:nvPicPr>
                    <pic:cNvPr id="0" name="fig3_mis.png"/>
                    <pic:cNvPicPr/>
                  </pic:nvPicPr>
                  <pic:blipFill>
                    <a:blip r:embed="rId11"/>
                    <a:stretch>
                      <a:fillRect/>
                    </a:stretch>
                  </pic:blipFill>
                  <pic:spPr>
                    <a:xfrm>
                      <a:off x="0" y="0"/>
                      <a:ext cx="5486400" cy="2807876"/>
                    </a:xfrm>
                    <a:prstGeom prst="rect"/>
                  </pic:spPr>
                </pic:pic>
              </a:graphicData>
            </a:graphic>
          </wp:inline>
        </w:drawing>
      </w:r>
    </w:p>
    <w:p>
      <w:pPr>
        <w:spacing w:before="80" w:after="200" w:line="276" w:lineRule="auto"/>
        <w:jc w:val="center"/>
      </w:pPr>
      <w:r>
        <w:rPr>
          <w:rFonts w:ascii="Times New Roman" w:hAnsi="Times New Roman"/>
          <w:b w:val="0"/>
          <w:i/>
          <w:color w:val="000000"/>
          <w:sz w:val="20"/>
        </w:rPr>
        <w:t>Figure 3: Visual inspection of 8 representative misclassifications under distribution shift, showing true class labels versus model predictions.</w:t>
      </w:r>
    </w:p>
    <w:p>
      <w:pPr>
        <w:spacing w:before="200" w:after="60" w:line="276" w:lineRule="auto"/>
        <w:jc w:val="left"/>
      </w:pPr>
      <w:r>
        <w:rPr>
          <w:rFonts w:ascii="Times New Roman" w:hAnsi="Times New Roman"/>
          <w:b/>
          <w:i w:val="0"/>
          <w:color w:val="000000"/>
          <w:sz w:val="24"/>
        </w:rPr>
        <w:t>Visual Property Analysis of 8 Misclassified Failures:</w:t>
      </w:r>
    </w:p>
    <w:p>
      <w:pPr>
        <w:spacing w:before="0" w:after="120" w:line="276" w:lineRule="auto"/>
      </w:pPr>
      <w:r>
        <w:rPr>
          <w:rFonts w:ascii="Times New Roman" w:hAnsi="Times New Roman"/>
          <w:color w:val="000000"/>
          <w:sz w:val="24"/>
        </w:rPr>
        <w:t>Direct inspection of the eight representative misclassifications (Figure 3) reveals three dominant failure archetypes:</w:t>
        <w:br/>
        <w:t>- Center-Field Occlusion: 16x16 occlusions centered squarely over the object eliminate the entire foreground entity, forcing the classifier to predict based on background grass or sky cues.</w:t>
        <w:br/>
        <w:t>- Contrast Compression and Low Luminance: Attenuated dynamic range merges dark animals into shadow backgrounds, causing frogs and cats to be misclassified.</w:t>
        <w:br/>
        <w:t>- Rotational Boundary Distortion: In-plane rotation near the +/-25 degree limit alters horizontal aspect ratios, leading to confusion between aerodynamically angled ships and airplanes.</w:t>
      </w:r>
    </w:p>
    <w:p>
      <w:pPr>
        <w:spacing w:before="200" w:after="60" w:line="276" w:lineRule="auto"/>
        <w:jc w:val="left"/>
      </w:pPr>
      <w:r>
        <w:rPr>
          <w:rFonts w:ascii="Times New Roman" w:hAnsi="Times New Roman"/>
          <w:b/>
          <w:i w:val="0"/>
          <w:color w:val="000000"/>
          <w:sz w:val="24"/>
        </w:rPr>
        <w:t>Hidden-Corruption Test Generalization:</w:t>
      </w:r>
    </w:p>
    <w:p>
      <w:pPr>
        <w:spacing w:before="0" w:after="120" w:line="276" w:lineRule="auto"/>
      </w:pPr>
      <w:r>
        <w:rPr>
          <w:rFonts w:ascii="Times New Roman" w:hAnsi="Times New Roman"/>
          <w:color w:val="000000"/>
          <w:sz w:val="24"/>
        </w:rPr>
        <w:t>Evaluating the Final Model against the unlisted hidden corruption (defocus Gaussian blur with kernel size 5x5 and sigma in [1.2, 2.0]) produced an accuracy of 33.27%. This high generalization score demonstrates that our multi-scale Inception design—specifically the wide 5x5 convolution and max-pooling branches—preserves low-frequency structural silhouettes effectively, allowing the network to recognize objects even when sharp high-frequency edges are blurred out.</w:t>
      </w:r>
    </w:p>
    <w:p>
      <w:pPr>
        <w:spacing w:before="280" w:after="80" w:line="276" w:lineRule="auto"/>
        <w:jc w:val="left"/>
      </w:pPr>
      <w:r>
        <w:rPr>
          <w:rFonts w:ascii="Times New Roman" w:hAnsi="Times New Roman"/>
          <w:b/>
          <w:i w:val="0"/>
          <w:color w:val="000000"/>
          <w:sz w:val="28"/>
        </w:rPr>
        <w:t>7. Part F: Test-Time Augmentation (TTA Bonus Evaluation)</w:t>
      </w:r>
    </w:p>
    <w:p>
      <w:pPr>
        <w:spacing w:before="0" w:after="120" w:line="276" w:lineRule="auto"/>
      </w:pPr>
      <w:r>
        <w:rPr>
          <w:rFonts w:ascii="Times New Roman" w:hAnsi="Times New Roman"/>
          <w:color w:val="000000"/>
          <w:sz w:val="24"/>
        </w:rPr>
        <w:t>We implemented Test-Time Augmentation by ensembling softmax prediction distributions across the original image and horizontally mirrored copies during test evaluation:</w:t>
        <w:br/>
        <w:t>- Standard Shifted Test Accuracy: 22.46% (Inference Time: 14.88 seconds)</w:t>
        <w:br/>
        <w:t>- TTA Shifted Test Accuracy: 22.51% (Inference Time: 56.13 seconds)</w:t>
        <w:br/>
        <w:t>- Computational Latency Overhead: 3.77x slowdown</w:t>
        <w:br/>
        <w:br/>
        <w:t>Discussion: While horizontal mirroring offers slight probability smoothing, the accuracy change under severe composite shift is marginal because mirroring cannot recover information destroyed by 25% occlusions. In practical edge deployments, the {tta['slowdown']:.2f}x inference slowdown outweighs the marginal accuracy change, making single-pass inference preferable for latency-sensitive applications.</w:t>
      </w:r>
    </w:p>
    <w:p>
      <w:pPr>
        <w:spacing w:before="280" w:after="80" w:line="276" w:lineRule="auto"/>
        <w:jc w:val="left"/>
      </w:pPr>
      <w:r>
        <w:rPr>
          <w:rFonts w:ascii="Times New Roman" w:hAnsi="Times New Roman"/>
          <w:b/>
          <w:i w:val="0"/>
          <w:color w:val="000000"/>
          <w:sz w:val="28"/>
        </w:rPr>
        <w:t>8. Reproducibility &amp; Engineering Compliance</w:t>
      </w:r>
    </w:p>
    <w:p>
      <w:pPr>
        <w:spacing w:before="0" w:after="120" w:line="276" w:lineRule="auto"/>
      </w:pPr>
      <w:r>
        <w:rPr>
          <w:rFonts w:ascii="Times New Roman" w:hAnsi="Times New Roman"/>
          <w:color w:val="000000"/>
          <w:sz w:val="24"/>
        </w:rPr>
        <w:t>All code, model definitions, and evaluation scripts have been executed cleanly with visible outputs and logged to the accompanying Jupyter notebook (DL_ASS02_23F_0524.ipynb). The project adheres strictly to all assignment constraints:</w:t>
        <w:br/>
        <w:t>- Zero Pretrained Weights: Trained strictly from scratch with Kaiming normal weight initialization.</w:t>
        <w:br/>
        <w:t>- Compact Model Budget: 118,338 trainable parameters (limit is 1,000,000).</w:t>
        <w:br/>
        <w:t>- Deterministic Seeds: Seeds 42, 123, and 999 evaluated for all 7 ablation variants.</w:t>
        <w:br/>
        <w:t>- Low-Sample Integrity: 400 clean train, 100 validation; zero exposure to test sets during hyperparameter tuning.</w:t>
        <w:br/>
        <w:t>- Public Source Repository: https://github.com/theajmalrazaq/dlpass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