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p>
      <w:pPr>
        <w:pStyle w:val="Subtitle"/>
      </w:pPr>
      <w:r>
        <w:t xml:space="preserve">Generated</w:t>
      </w:r>
      <w:r>
        <w:t xml:space="preserve"> </w:t>
      </w:r>
      <w:r>
        <w:t xml:space="preserve">using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Thea</w:t>
      </w:r>
      <w:r>
        <w:t xml:space="preserve"> </w:t>
      </w:r>
      <w:r>
        <w:t xml:space="preserve">Knowles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Thea</w:t>
      </w:r>
      <w:r>
        <w:t xml:space="preserve"> </w:t>
      </w:r>
      <w:r>
        <w:t xml:space="preserve">Knowles'</w:t>
      </w:r>
      <w:r>
        <w:t xml:space="preserve"> </w:t>
      </w:r>
      <w:r>
        <w:t xml:space="preserve">Alter</w:t>
      </w:r>
      <w:r>
        <w:t xml:space="preserve"> </w:t>
      </w:r>
      <w:r>
        <w:t xml:space="preserve">Ego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Western</w:t>
      </w:r>
      <w:r>
        <w:t xml:space="preserve"> </w:t>
      </w:r>
      <w:r>
        <w:t xml:space="preserve">University,</w:t>
      </w:r>
      <w:r>
        <w:t xml:space="preserve"> </w:t>
      </w:r>
      <w:r>
        <w:rPr>
          <w:vertAlign w:val="superscript"/>
        </w:rPr>
        <w:t xml:space="preserve">2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Western</w:t>
      </w:r>
      <w:r>
        <w:t xml:space="preserve"> </w:t>
      </w:r>
      <w:r>
        <w:t xml:space="preserve">Ontario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March,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Here is an introduction. This paper explores the relationship between calorie content and sugars in specialty coffee beverages made by the Starbucks industry.</w:t>
      </w:r>
    </w:p>
    <w:p>
      <w:pPr>
        <w:pStyle w:val="BodyText"/>
      </w:pPr>
      <w:r>
        <w:t xml:space="preserve">Starbucks recently introduced calorie counts on their menus, a marketing move reflecting consumer trends motivated in part by the recent findings of</w:t>
      </w:r>
      <w:r>
        <w:t xml:space="preserve"> </w:t>
      </w:r>
      <w:r>
        <w:t xml:space="preserve">(Bleich, Wolfson, Jarlenski, &amp; Block, 2015)</w:t>
      </w:r>
      <w:r>
        <w:t xml:space="preserve">. Other research on this topic will be cited here in parentheses</w:t>
      </w:r>
      <w:r>
        <w:t xml:space="preserve"> </w:t>
      </w:r>
      <w:r>
        <w:t xml:space="preserve">(Drewnowski, 2003; Malik, Popkin, Bray, Després, &amp; Hu, 2010)</w:t>
      </w:r>
      <w:r>
        <w:t xml:space="preserve">.</w:t>
      </w:r>
      <w:r>
        <w:t xml:space="preserve"> </w:t>
      </w:r>
      <w:r>
        <w:t xml:space="preserve">Weaver &amp; Finke (2003)</w:t>
      </w:r>
      <w:r>
        <w:t xml:space="preserve"> </w:t>
      </w:r>
      <w:r>
        <w:t xml:space="preserve">demonstrated the use of an inline citation here.</w:t>
      </w:r>
    </w:p>
    <w:p>
      <w:pPr>
        <w:pStyle w:val="Heading1"/>
      </w:pPr>
      <w:bookmarkStart w:id="22" w:name="methods"/>
      <w:bookmarkEnd w:id="22"/>
      <w:r>
        <w:t xml:space="preserve">Methods</w:t>
      </w:r>
    </w:p>
    <w:p>
      <w:pPr>
        <w:pStyle w:val="FirstParagraph"/>
      </w:pPr>
      <w:r>
        <w:t xml:space="preserve">Here is the methods section. Refer to this section in the manuscript.Rmd file to see how we:</w:t>
      </w:r>
    </w:p>
    <w:p>
      <w:pPr>
        <w:pStyle w:val="Compact"/>
        <w:numPr>
          <w:numId w:val="1001"/>
          <w:ilvl w:val="0"/>
        </w:numPr>
      </w:pPr>
      <w:r>
        <w:t xml:space="preserve">Input a table that does not use R code</w:t>
      </w:r>
    </w:p>
    <w:p>
      <w:pPr>
        <w:pStyle w:val="Compact"/>
        <w:numPr>
          <w:numId w:val="1001"/>
          <w:ilvl w:val="0"/>
        </w:numPr>
      </w:pPr>
      <w:r>
        <w:t xml:space="preserve">Insert a figure that does not use R code</w:t>
      </w:r>
    </w:p>
    <w:p>
      <w:pPr>
        <w:pStyle w:val="Compact"/>
        <w:numPr>
          <w:numId w:val="1001"/>
          <w:ilvl w:val="0"/>
        </w:numPr>
      </w:pPr>
      <w:r>
        <w:t xml:space="preserve">Insert an equation</w:t>
      </w:r>
    </w:p>
    <w:p>
      <w:pPr>
        <w:pStyle w:val="Compact"/>
        <w:numPr>
          <w:numId w:val="1001"/>
          <w:ilvl w:val="0"/>
        </w:numPr>
      </w:pPr>
      <w:r>
        <w:t xml:space="preserve">Insert a footnote</w:t>
      </w:r>
    </w:p>
    <w:p>
      <w:pPr>
        <w:pStyle w:val="Heading2"/>
      </w:pPr>
      <w:bookmarkStart w:id="23" w:name="insert-markdown-tables"/>
      <w:bookmarkEnd w:id="23"/>
      <w:r>
        <w:t xml:space="preserve">Insert Markdown tables</w:t>
      </w:r>
    </w:p>
    <w:p>
      <w:pPr>
        <w:pStyle w:val="FirstParagraph"/>
      </w:pPr>
      <w:r>
        <w:t xml:space="preserve">The following table similarly demonstrates absolutely nothing useful except how to generate a simple table in RMarkdown.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Weekday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Kind of coffee I drank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Happiness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Monday</w:t>
            </w:r>
          </w:p>
        </w:tc>
        <w:tc>
          <w:p>
            <w:pPr>
              <w:pStyle w:val="Compact"/>
              <w:jc w:val="center"/>
            </w:pPr>
            <w:r>
              <w:t xml:space="preserve">Black coffee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Tuesday</w:t>
            </w:r>
          </w:p>
        </w:tc>
        <w:tc>
          <w:p>
            <w:pPr>
              <w:pStyle w:val="Compact"/>
              <w:jc w:val="center"/>
            </w:pPr>
            <w:r>
              <w:t xml:space="preserve">Latte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Wednesday</w:t>
            </w:r>
          </w:p>
        </w:tc>
        <w:tc>
          <w:p>
            <w:pPr>
              <w:pStyle w:val="Compact"/>
              <w:jc w:val="center"/>
            </w:pPr>
            <w:r>
              <w:t xml:space="preserve">Cappuccino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Thursday</w:t>
            </w:r>
          </w:p>
        </w:tc>
        <w:tc>
          <w:p>
            <w:pPr>
              <w:pStyle w:val="Compact"/>
              <w:jc w:val="center"/>
            </w:pPr>
            <w:r>
              <w:t xml:space="preserve">Black coffee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Friday</w:t>
            </w:r>
          </w:p>
        </w:tc>
        <w:tc>
          <w:p>
            <w:pPr>
              <w:pStyle w:val="Compact"/>
              <w:jc w:val="center"/>
            </w:pPr>
            <w:r>
              <w:t xml:space="preserve">No coffee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Saturday</w:t>
            </w:r>
          </w:p>
        </w:tc>
        <w:tc>
          <w:p>
            <w:pPr>
              <w:pStyle w:val="Compact"/>
              <w:jc w:val="center"/>
            </w:pPr>
            <w:r>
              <w:t xml:space="preserve">Irish coffee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Sunday</w:t>
            </w:r>
          </w:p>
        </w:tc>
        <w:tc>
          <w:p>
            <w:pPr>
              <w:pStyle w:val="Compact"/>
              <w:jc w:val="center"/>
            </w:pPr>
            <w:r>
              <w:t xml:space="preserve">Orange mocha frappuccino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</w:tbl>
    <w:p>
      <w:pPr>
        <w:pStyle w:val="Heading2"/>
      </w:pPr>
      <w:bookmarkStart w:id="24" w:name="insert-a-figure"/>
      <w:bookmarkEnd w:id="24"/>
      <w:r>
        <w:t xml:space="preserve">Insert a figure</w:t>
      </w:r>
    </w:p>
    <w:p>
      <w:pPr>
        <w:pStyle w:val="FigureWithCaption"/>
      </w:pPr>
      <w:r>
        <w:drawing>
          <wp:inline>
            <wp:extent cx="2857500" cy="2857500"/>
            <wp:effectExtent b="0" l="0" r="0" t="0"/>
            <wp:docPr descr="This is the caption for the starbucks logo." title="" id="1" name="Picture"/>
            <a:graphic>
              <a:graphicData uri="http://schemas.openxmlformats.org/drawingml/2006/picture">
                <pic:pic>
                  <pic:nvPicPr>
                    <pic:cNvPr descr="starbucks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the caption for the starbucks logo.</w:t>
      </w:r>
    </w:p>
    <w:p>
      <w:pPr>
        <w:pStyle w:val="Heading2"/>
      </w:pPr>
      <w:bookmarkStart w:id="26" w:name="inset-equations"/>
      <w:bookmarkEnd w:id="26"/>
      <w:r>
        <w:t xml:space="preserve">Inset equations</w:t>
      </w:r>
    </w:p>
    <w:p>
      <w:pPr>
        <w:pStyle w:val="FirstParagraph"/>
      </w:pPr>
      <w:r>
        <w:t xml:space="preserve">Here is a nifty equation that shows absolutely nothing except how to include an equation:</w:t>
      </w:r>
    </w:p>
    <w:p>
      <w:pPr>
        <w:pStyle w:val="BodyText"/>
      </w:pPr>
      <w:r>
        <w:t xml:space="preserve">Amount I wish I could spend on coffee =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  <m:r>
              <m:t>(</m:t>
            </m:r>
            <m:r>
              <m:t>c</m:t>
            </m:r>
            <m:r>
              <m:t>o</m:t>
            </m:r>
            <m:r>
              <m:t>f</m:t>
            </m:r>
            <m:r>
              <m:t>f</m:t>
            </m:r>
            <m:r>
              <m:t>e</m:t>
            </m:r>
            <m:r>
              <m:t>e</m:t>
            </m:r>
            <m:r>
              <m:t> </m:t>
            </m:r>
            <m:r>
              <m:t>b</m:t>
            </m:r>
            <m:r>
              <m:t>u</m:t>
            </m:r>
            <m:r>
              <m:t>d</m:t>
            </m:r>
            <m:r>
              <m:t>g</m:t>
            </m:r>
            <m:r>
              <m:t>e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t>)</m:t>
            </m:r>
          </m:num>
          <m:den>
            <m:r>
              <m:t>m</m:t>
            </m:r>
            <m:r>
              <m:t>y</m:t>
            </m:r>
            <m:r>
              <m:t> </m:t>
            </m:r>
            <m:r>
              <m:t>i</m:t>
            </m:r>
            <m:r>
              <m:t>n</m:t>
            </m:r>
            <m:r>
              <m:t>c</m:t>
            </m:r>
            <m:r>
              <m:t>o</m:t>
            </m:r>
            <m:r>
              <m:t>m</m:t>
            </m:r>
            <m:r>
              <m:t>e</m:t>
            </m:r>
          </m:den>
        </m:f>
        <m:r>
          <m:t>*</m:t>
        </m:r>
        <m:r>
          <m:t>$</m:t>
        </m:r>
        <m:r>
          <m:t>1</m:t>
        </m:r>
        <m:r>
          <m:t> </m:t>
        </m:r>
        <m:r>
          <m:t>b</m:t>
        </m:r>
        <m:r>
          <m:t>a</m:t>
        </m:r>
        <m:r>
          <m:t>z</m:t>
        </m:r>
        <m:r>
          <m:t>i</m:t>
        </m:r>
        <m:r>
          <m:t>l</m:t>
        </m:r>
        <m:r>
          <m:t>l</m:t>
        </m:r>
        <m:r>
          <m:t>i</m:t>
        </m:r>
        <m:r>
          <m:t>o</m:t>
        </m:r>
        <m:r>
          <m:t>n</m:t>
        </m:r>
      </m:oMath>
      <w:r>
        <w:t xml:space="preserve">.</w:t>
      </w:r>
    </w:p>
    <w:p>
      <w:pPr>
        <w:pStyle w:val="Heading2"/>
      </w:pPr>
      <w:bookmarkStart w:id="27" w:name="insert-footnotes."/>
      <w:bookmarkEnd w:id="27"/>
      <w:r>
        <w:t xml:space="preserve">Insert footnotes.</w:t>
      </w:r>
    </w:p>
    <w:p>
      <w:pPr>
        <w:pStyle w:val="FirstParagraph"/>
      </w:pPr>
      <w:r>
        <w:t xml:space="preserve">Because we specified footnotes in the markdown extensions in our YAML</w:t>
      </w:r>
      <w:r>
        <w:rPr>
          <w:rStyle w:val="FootnoteReference"/>
        </w:rPr>
        <w:footnoteReference w:id="28"/>
      </w:r>
      <w:r>
        <w:t xml:space="preserve">, we can now include them in the text.</w:t>
      </w:r>
    </w:p>
    <w:p>
      <w:pPr>
        <w:pStyle w:val="Heading1"/>
      </w:pPr>
      <w:bookmarkStart w:id="29" w:name="results"/>
      <w:bookmarkEnd w:id="29"/>
      <w:r>
        <w:t xml:space="preserve">Results</w:t>
      </w:r>
    </w:p>
    <w:p>
      <w:pPr>
        <w:pStyle w:val="FirstParagraph"/>
      </w:pPr>
      <w:r>
        <w:t xml:space="preserve">This is where the results will go in a moment. For now, notice the chunk is commented out.</w:t>
      </w:r>
    </w:p>
    <w:p>
      <w:pPr>
        <w:pStyle w:val="BodyText"/>
      </w:pPr>
      <w:r>
        <w:t xml:space="preserve">I have written the results section separately to keep things nice and tidy, and this is where I will call it as "child" input.</w:t>
      </w:r>
      <w:r>
        <w:t xml:space="preserve"> </w:t>
      </w:r>
      <w:r>
        <w:t xml:space="preserve">It is important that R chunks (identifiable as sandwiched between three back ticks ```) in the child file don't have the same names as chunks in the main file.</w:t>
      </w:r>
    </w:p>
    <w:p>
      <w:pPr>
        <w:pStyle w:val="Heading1"/>
      </w:pPr>
      <w:bookmarkStart w:id="30" w:name="discussion"/>
      <w:bookmarkEnd w:id="30"/>
      <w:r>
        <w:t xml:space="preserve">Discussion</w:t>
      </w:r>
    </w:p>
    <w:p>
      <w:pPr>
        <w:pStyle w:val="FirstParagraph"/>
      </w:pPr>
      <w:r>
        <w:t xml:space="preserve">Discuss.</w:t>
      </w:r>
    </w:p>
    <w:p>
      <w:pPr>
        <w:pStyle w:val="Heading1"/>
      </w:pPr>
      <w:bookmarkStart w:id="31" w:name="limitations"/>
      <w:bookmarkEnd w:id="31"/>
      <w:r>
        <w:t xml:space="preserve">Limitations</w:t>
      </w:r>
    </w:p>
    <w:p>
      <w:pPr>
        <w:pStyle w:val="FirstParagraph"/>
      </w:pPr>
      <w:r>
        <w:t xml:space="preserve">Beat reviewer #2 to the punch!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Bibliography"/>
      </w:pPr>
      <w:r>
        <w:t xml:space="preserve">Bleich, S. N., Wolfson, J. A., Jarlenski, M. P., &amp; Block, J. P. (2015). Restaurants with calories displayed on menus had lower calorie counts compared to restaurants without such labels.</w:t>
      </w:r>
      <w:r>
        <w:t xml:space="preserve"> </w:t>
      </w:r>
      <w:r>
        <w:rPr>
          <w:i/>
        </w:rPr>
        <w:t xml:space="preserve">Health Affairs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(11), 1877–1884.</w:t>
      </w:r>
    </w:p>
    <w:p>
      <w:pPr>
        <w:pStyle w:val="Bibliography"/>
      </w:pPr>
      <w:r>
        <w:t xml:space="preserve">Drewnowski, A. (2003). Fat and sugar: An economic analysis.</w:t>
      </w:r>
      <w:r>
        <w:t xml:space="preserve"> </w:t>
      </w:r>
      <w:r>
        <w:rPr>
          <w:i/>
        </w:rPr>
        <w:t xml:space="preserve">The Journal of Nutrition</w:t>
      </w:r>
      <w:r>
        <w:t xml:space="preserve">,</w:t>
      </w:r>
      <w:r>
        <w:t xml:space="preserve"> </w:t>
      </w:r>
      <w:r>
        <w:rPr>
          <w:i/>
        </w:rPr>
        <w:t xml:space="preserve">133</w:t>
      </w:r>
      <w:r>
        <w:t xml:space="preserve">(3), 838S–840S.</w:t>
      </w:r>
    </w:p>
    <w:p>
      <w:pPr>
        <w:pStyle w:val="Bibliography"/>
      </w:pPr>
      <w:r>
        <w:t xml:space="preserve">Malik, V. S., Popkin, B. M., Bray, G. A., Després, J.-P., &amp; Hu, F. B. (2010). Sugar-sweetened beverages, obesity, type 2 diabetes mellitus, and cardiovascular disease risk.</w:t>
      </w:r>
      <w:r>
        <w:t xml:space="preserve"> </w:t>
      </w:r>
      <w:r>
        <w:rPr>
          <w:i/>
        </w:rPr>
        <w:t xml:space="preserve">Circulation</w:t>
      </w:r>
      <w:r>
        <w:t xml:space="preserve">,</w:t>
      </w:r>
      <w:r>
        <w:t xml:space="preserve"> </w:t>
      </w:r>
      <w:r>
        <w:rPr>
          <w:i/>
        </w:rPr>
        <w:t xml:space="preserve">121</w:t>
      </w:r>
      <w:r>
        <w:t xml:space="preserve">(11), 1356–1364.</w:t>
      </w:r>
    </w:p>
    <w:p>
      <w:pPr>
        <w:pStyle w:val="Bibliography"/>
      </w:pPr>
      <w:r>
        <w:t xml:space="preserve">Weaver, D., &amp; Finke, M. (2003). The relationship between the use of sugar content information on nutrition labels and the consumption of added sugars.</w:t>
      </w:r>
      <w:r>
        <w:t xml:space="preserve"> </w:t>
      </w:r>
      <w:r>
        <w:rPr>
          <w:i/>
        </w:rPr>
        <w:t xml:space="preserve">Food Policy</w:t>
      </w:r>
      <w:r>
        <w:t xml:space="preserve">,</w:t>
      </w:r>
      <w:r>
        <w:t xml:space="preserve"> </w:t>
      </w:r>
      <w:r>
        <w:rPr>
          <w:i/>
        </w:rPr>
        <w:t xml:space="preserve">28</w:t>
      </w:r>
      <w:r>
        <w:t xml:space="preserve">(3), 213–219.</w:t>
      </w:r>
    </w:p>
    <w:sectPr w:rsidR="00F829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3E03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8a9bf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499ee0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C207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5C2075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C2075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5C2075"/>
    <w:pPr>
      <w:spacing w:before="240"/>
    </w:pPr>
    <w:rPr>
      <w:rFonts w:asciiTheme="minorHAnsi" w:hAnsiTheme="minorHAnsi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124A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C124A"/>
    <w:pPr>
      <w:spacing w:before="240" w:line="259" w:lineRule="auto"/>
      <w:outlineLvl w:val="9"/>
    </w:pPr>
    <w:rPr>
      <w:b w:val="0"/>
      <w:bCs w:val="0"/>
    </w:rPr>
  </w:style>
  <w:style w:type="character" w:customStyle="1" w:styleId="Heading7Char">
    <w:name w:val="Heading 7 Char"/>
    <w:basedOn w:val="DefaultParagraphFont"/>
    <w:link w:val="Heading7"/>
    <w:rsid w:val="005C2075"/>
    <w:rPr>
      <w:rFonts w:eastAsiaTheme="majorEastAsia" w:cstheme="majorBidi"/>
      <w:i/>
      <w:iCs/>
      <w:color w:val="404040" w:themeColor="text1" w:themeTint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>Thea Knowles1, Thea Knowles' Alter Ego2; 1Western University, 2University of Western Ontario</dc:creator>
  <dcterms:created xsi:type="dcterms:W3CDTF">2018-03-06T17:45:04Z</dcterms:created>
  <dcterms:modified xsi:type="dcterms:W3CDTF">2018-03-06T17:45:04Z</dcterms:modified>
</cp:coreProperties>
</file>