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</w:p>
    <w:p>
      <w:pPr>
        <w:pStyle w:val="Subtitle"/>
      </w:pPr>
      <w:r>
        <w:t xml:space="preserve">Generated</w:t>
      </w:r>
      <w:r>
        <w:t xml:space="preserve"> </w:t>
      </w:r>
      <w:r>
        <w:t xml:space="preserve">using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Thea</w:t>
      </w:r>
      <w:r>
        <w:t xml:space="preserve"> </w:t>
      </w:r>
      <w:r>
        <w:t xml:space="preserve">Knowles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Thea</w:t>
      </w:r>
      <w:r>
        <w:t xml:space="preserve"> </w:t>
      </w:r>
      <w:r>
        <w:t xml:space="preserve">Knowles’</w:t>
      </w:r>
      <w:r>
        <w:t xml:space="preserve"> </w:t>
      </w:r>
      <w:r>
        <w:t xml:space="preserve">Alter</w:t>
      </w:r>
      <w:r>
        <w:t xml:space="preserve"> </w:t>
      </w:r>
      <w:r>
        <w:t xml:space="preserve">Ego</w:t>
      </w:r>
      <w:r>
        <w:rPr>
          <w:vertAlign w:val="superscript"/>
        </w:rPr>
        <w:t xml:space="preserve">2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University</w:t>
      </w:r>
      <w:r>
        <w:t xml:space="preserve"> </w:t>
      </w:r>
      <w:r>
        <w:t xml:space="preserve">at</w:t>
      </w:r>
      <w:r>
        <w:t xml:space="preserve"> </w:t>
      </w:r>
      <w:r>
        <w:t xml:space="preserve">Buffalo,</w:t>
      </w:r>
      <w:r>
        <w:t xml:space="preserve"> </w:t>
      </w:r>
      <w:r>
        <w:rPr>
          <w:vertAlign w:val="superscript"/>
        </w:rPr>
        <w:t xml:space="preserve">2</w:t>
      </w:r>
      <w:r>
        <w:t xml:space="preserve">Western</w:t>
      </w:r>
      <w:r>
        <w:t xml:space="preserve"> </w:t>
      </w:r>
      <w:r>
        <w:t xml:space="preserve">University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updated:</w:t>
      </w:r>
      <w:r>
        <w:t xml:space="preserve"> </w:t>
      </w:r>
      <w:r>
        <w:t xml:space="preserve">11</w:t>
      </w:r>
      <w:r>
        <w:t xml:space="preserve"> </w:t>
      </w:r>
      <w:r>
        <w:t xml:space="preserve">January,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Here is an introduction.</w:t>
      </w:r>
      <w:r>
        <w:t xml:space="preserve"> </w:t>
      </w:r>
      <w:r>
        <w:t xml:space="preserve">This paper explores the relationship between height and weight of Starwars characters.</w:t>
      </w:r>
    </w:p>
    <w:p>
      <w:pPr>
        <w:pStyle w:val="BodyText"/>
      </w:pPr>
      <w:r>
        <w:t xml:space="preserve">When Starwars was released as a book</w:t>
      </w:r>
      <w:r>
        <w:t xml:space="preserve"> </w:t>
      </w:r>
      <w:r>
        <w:t xml:space="preserve">(Lucas &amp; Powell, 1977)</w:t>
      </w:r>
      <w:r>
        <w:t xml:space="preserve">, the films were already in production.</w:t>
      </w:r>
      <w:r>
        <w:t xml:space="preserve"> </w:t>
      </w:r>
      <w:r>
        <w:t xml:space="preserve">Here are some more citations from our bibliography</w:t>
      </w:r>
      <w:r>
        <w:t xml:space="preserve"> </w:t>
      </w:r>
      <w:r>
        <w:t xml:space="preserve">(Brodeur, Lé, Sangnier, &amp; Zylberberg, 2016; Means &amp; Voss, 1985)</w:t>
      </w:r>
      <w:r>
        <w:t xml:space="preserve">.</w:t>
      </w:r>
      <w:r>
        <w:t xml:space="preserve"> </w:t>
      </w:r>
      <w:r>
        <w:t xml:space="preserve">Bundy, Kennan, McNamara, &amp; Smith (1984)</w:t>
      </w:r>
      <w:r>
        <w:t xml:space="preserve"> </w:t>
      </w:r>
      <w:r>
        <w:t xml:space="preserve">demonstrated the use of an inline citation here.</w:t>
      </w:r>
    </w:p>
    <w:p>
      <w:pPr>
        <w:pStyle w:val="Heading1"/>
      </w:pPr>
      <w:bookmarkStart w:id="21" w:name="methods"/>
      <w:r>
        <w:t xml:space="preserve">Methods</w:t>
      </w:r>
      <w:bookmarkEnd w:id="21"/>
    </w:p>
    <w:p>
      <w:pPr>
        <w:pStyle w:val="FirstParagraph"/>
      </w:pPr>
      <w:r>
        <w:t xml:space="preserve">Here is the methods section. Refer to this section in the manuscript.Rmd file to see how we:</w:t>
      </w:r>
    </w:p>
    <w:p>
      <w:pPr>
        <w:pStyle w:val="Compact"/>
        <w:numPr>
          <w:numId w:val="1001"/>
          <w:ilvl w:val="0"/>
        </w:numPr>
      </w:pPr>
      <w:r>
        <w:t xml:space="preserve">Input a table that does not use R code</w:t>
      </w:r>
    </w:p>
    <w:p>
      <w:pPr>
        <w:pStyle w:val="Compact"/>
        <w:numPr>
          <w:numId w:val="1001"/>
          <w:ilvl w:val="0"/>
        </w:numPr>
      </w:pPr>
      <w:r>
        <w:t xml:space="preserve">Insert a figure that does not use R code</w:t>
      </w:r>
    </w:p>
    <w:p>
      <w:pPr>
        <w:pStyle w:val="Compact"/>
        <w:numPr>
          <w:numId w:val="1001"/>
          <w:ilvl w:val="0"/>
        </w:numPr>
      </w:pPr>
      <w:r>
        <w:t xml:space="preserve">Insert an equation</w:t>
      </w:r>
    </w:p>
    <w:p>
      <w:pPr>
        <w:pStyle w:val="Compact"/>
        <w:numPr>
          <w:numId w:val="1001"/>
          <w:ilvl w:val="0"/>
        </w:numPr>
      </w:pPr>
      <w:r>
        <w:t xml:space="preserve">Insert a footnote</w:t>
      </w:r>
    </w:p>
    <w:p>
      <w:pPr>
        <w:pStyle w:val="Heading2"/>
      </w:pPr>
      <w:bookmarkStart w:id="22" w:name="insert-markdown-tables"/>
      <w:r>
        <w:t xml:space="preserve">Insert Markdown tables</w:t>
      </w:r>
      <w:bookmarkEnd w:id="22"/>
    </w:p>
    <w:p>
      <w:pPr>
        <w:pStyle w:val="FirstParagraph"/>
      </w:pPr>
      <w:r>
        <w:t xml:space="preserve">The following table similarly demonstrates absolutely nothing useful except how to generate a simple table in RMarkdown.</w:t>
      </w:r>
    </w:p>
    <w:p>
      <w:pPr>
        <w:pStyle w:val="BodyText"/>
      </w:pPr>
      <w:r>
        <w:t xml:space="preserve">Here are some ways of inserting Markdown tables:</w:t>
      </w:r>
    </w:p>
    <w:p>
      <w:pPr>
        <w:pStyle w:val="Compact"/>
        <w:numPr>
          <w:numId w:val="1002"/>
          <w:ilvl w:val="0"/>
        </w:numPr>
      </w:pPr>
      <w:r>
        <w:t xml:space="preserve">By hand using standard Markdown syntax</w:t>
      </w:r>
    </w:p>
    <w:p>
      <w:pPr>
        <w:pStyle w:val="Compact"/>
        <w:numPr>
          <w:numId w:val="1002"/>
          <w:ilvl w:val="0"/>
        </w:numPr>
      </w:pPr>
      <w:r>
        <w:t xml:space="preserve">Using a</w:t>
      </w:r>
      <w:r>
        <w:t xml:space="preserve"> </w:t>
      </w:r>
      <w:hyperlink r:id="rId23">
        <w:r>
          <w:rPr>
            <w:rStyle w:val="Hyperlink"/>
          </w:rPr>
          <w:t xml:space="preserve">Tables Generator website</w:t>
        </w:r>
      </w:hyperlink>
    </w:p>
    <w:p>
      <w:pPr>
        <w:pStyle w:val="Compact"/>
        <w:numPr>
          <w:numId w:val="1002"/>
          <w:ilvl w:val="0"/>
        </w:numPr>
      </w:pPr>
      <w:r>
        <w:t xml:space="preserve">Using the</w:t>
      </w:r>
      <w:r>
        <w:t xml:space="preserve"> </w:t>
      </w:r>
      <w:hyperlink r:id="rId24">
        <w:r>
          <w:rPr>
            <w:rStyle w:val="VerbatimChar"/>
            <w:rStyle w:val="Hyperlink"/>
          </w:rPr>
          <w:t xml:space="preserve">remedy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RStudio addin</w:t>
        </w:r>
      </w:hyperlink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Movie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Rotten Tomatoes Score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right"/>
            </w:pPr>
            <w:r>
              <w:t xml:space="preserve">The Rise of Skywalker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Rogue One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Episode II: Attack of the Clones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</w:tr>
    </w:tbl>
    <w:p>
      <w:pPr>
        <w:pStyle w:val="Heading2"/>
      </w:pPr>
      <w:bookmarkStart w:id="25" w:name="insert-a-figure"/>
      <w:r>
        <w:t xml:space="preserve">Insert a figure</w:t>
      </w:r>
      <w:bookmarkEnd w:id="25"/>
    </w:p>
    <w:p>
      <w:pPr>
        <w:pStyle w:val="FirstParagraph"/>
      </w:pPr>
      <w:r>
        <w:drawing>
          <wp:inline>
            <wp:extent cx="2857500" cy="285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starwa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insert-equations"/>
      <w:r>
        <w:t xml:space="preserve">Insert equations</w:t>
      </w:r>
      <w:bookmarkEnd w:id="27"/>
    </w:p>
    <w:p>
      <w:pPr>
        <w:pStyle w:val="FirstParagraph"/>
      </w:pPr>
      <w:r>
        <w:t xml:space="preserve">Here is a nifty equation that shows absolutely nothing except how to include an equation:</w:t>
      </w:r>
    </w:p>
    <w:p>
      <w:pPr>
        <w:pStyle w:val="BodyText"/>
      </w:pPr>
      <w:r>
        <w:t xml:space="preserve">George Lucas’ income =</w:t>
      </w:r>
      <w:r>
        <w:t xml:space="preserve"> </w:t>
      </w:r>
      <m:oMath>
        <m:f>
          <m:fPr>
            <m:type m:val="bar"/>
          </m:fPr>
          <m:num>
            <m:r>
              <m:t>N</m:t>
            </m:r>
            <m:r>
              <m:t> </m:t>
            </m:r>
            <m:r>
              <m:t>t</m:t>
            </m:r>
            <m:r>
              <m:t>i</m:t>
            </m:r>
            <m:r>
              <m:t>m</m:t>
            </m:r>
            <m:r>
              <m:t>e</m:t>
            </m:r>
            <m:r>
              <m:t>s</m:t>
            </m:r>
            <m:r>
              <m:t> </m:t>
            </m:r>
            <m:r>
              <m:t>p</m:t>
            </m:r>
            <m:r>
              <m:t>e</m:t>
            </m:r>
            <m:r>
              <m:t>o</m:t>
            </m:r>
            <m:r>
              <m:t>p</m:t>
            </m:r>
            <m:r>
              <m:t>l</m:t>
            </m:r>
            <m:r>
              <m:t>e</m:t>
            </m:r>
            <m:r>
              <m:t> </m:t>
            </m:r>
            <m:r>
              <m:t>h</m:t>
            </m:r>
            <m:r>
              <m:t>a</m:t>
            </m:r>
            <m:r>
              <m:t>v</m:t>
            </m:r>
            <m:r>
              <m:t>e</m:t>
            </m:r>
            <m:r>
              <m:t>s</m:t>
            </m:r>
            <m:r>
              <m:t>a</m:t>
            </m:r>
            <m:r>
              <m:t>i</m:t>
            </m:r>
            <m:r>
              <m:t>d</m:t>
            </m:r>
            <m:r>
              <m:t> </m:t>
            </m:r>
            <m:r>
              <m:t>M</m:t>
            </m:r>
            <m:r>
              <m:t>a</m:t>
            </m:r>
            <m:r>
              <m:t>y</m:t>
            </m:r>
            <m:r>
              <m:t> </m:t>
            </m:r>
            <m:r>
              <m:t>t</m:t>
            </m:r>
            <m:r>
              <m:t>h</m:t>
            </m:r>
            <m:r>
              <m:t>e</m:t>
            </m:r>
            <m:r>
              <m:t> </m:t>
            </m:r>
            <m:r>
              <m:t>F</m:t>
            </m:r>
            <m:r>
              <m:t>o</m:t>
            </m:r>
            <m:r>
              <m:t>r</m:t>
            </m:r>
            <m:r>
              <m:t>c</m:t>
            </m:r>
            <m:r>
              <m:t>e</m:t>
            </m:r>
            <m:r>
              <m:t> </m:t>
            </m:r>
            <m:r>
              <m:t>B</m:t>
            </m:r>
            <m:r>
              <m:t>e</m:t>
            </m:r>
            <m:r>
              <m:t> </m:t>
            </m:r>
            <m:r>
              <m:t>W</m:t>
            </m:r>
            <m:r>
              <m:t>i</m:t>
            </m:r>
            <m:r>
              <m:t>t</m:t>
            </m:r>
            <m:r>
              <m:t>h</m:t>
            </m:r>
            <m:r>
              <m:t> </m:t>
            </m:r>
            <m:r>
              <m:t>Y</m:t>
            </m:r>
            <m:r>
              <m:t>o</m:t>
            </m:r>
            <m:r>
              <m:t>u</m:t>
            </m:r>
          </m:num>
          <m:den>
            <m:r>
              <m:t>C</m:t>
            </m:r>
            <m:r>
              <m:t>a</m:t>
            </m:r>
            <m:r>
              <m:t>r</m:t>
            </m:r>
            <m:r>
              <m:t>r</m:t>
            </m:r>
            <m:r>
              <m:t>i</m:t>
            </m:r>
            <m:r>
              <m:t>e</m:t>
            </m:r>
            <m:r>
              <m:t> </m:t>
            </m:r>
            <m:r>
              <m:t>F</m:t>
            </m:r>
            <m:r>
              <m:t>i</m:t>
            </m:r>
            <m:r>
              <m:t>s</m:t>
            </m:r>
            <m:r>
              <m:t>h</m:t>
            </m:r>
            <m:r>
              <m:t>e</m:t>
            </m:r>
            <m:r>
              <m:t>r</m:t>
            </m:r>
          </m:den>
        </m:f>
        <m:r>
          <m:t>*</m:t>
        </m:r>
        <m:r>
          <m:t>$</m:t>
        </m:r>
        <m:r>
          <m:t>1</m:t>
        </m:r>
        <m:r>
          <m:t> </m:t>
        </m:r>
        <m:r>
          <m:t>b</m:t>
        </m:r>
        <m:r>
          <m:t>a</m:t>
        </m:r>
        <m:r>
          <m:t>z</m:t>
        </m:r>
        <m:r>
          <m:t>i</m:t>
        </m:r>
        <m:r>
          <m:t>l</m:t>
        </m:r>
        <m:r>
          <m:t>l</m:t>
        </m:r>
        <m:r>
          <m:t>i</m:t>
        </m:r>
        <m:r>
          <m:t>o</m:t>
        </m:r>
        <m:r>
          <m:t>n</m:t>
        </m:r>
      </m:oMath>
      <w:r>
        <w:t xml:space="preserve">.</w:t>
      </w:r>
    </w:p>
    <w:p>
      <w:pPr>
        <w:pStyle w:val="Heading2"/>
      </w:pPr>
      <w:bookmarkStart w:id="28" w:name="insert-footnotes."/>
      <w:r>
        <w:t xml:space="preserve">Insert footnotes.</w:t>
      </w:r>
      <w:bookmarkEnd w:id="28"/>
    </w:p>
    <w:p>
      <w:pPr>
        <w:pStyle w:val="FirstParagraph"/>
      </w:pPr>
      <w:r>
        <w:t xml:space="preserve">Because we specified footnotes in the markdown extensions in our YAML</w:t>
      </w:r>
      <w:r>
        <w:rPr>
          <w:rStyle w:val="FootnoteReference"/>
        </w:rPr>
        <w:footnoteReference w:id="29"/>
      </w:r>
      <w:r>
        <w:t xml:space="preserve">, we can now include them in the text.</w:t>
      </w:r>
    </w:p>
    <w:p>
      <w:pPr>
        <w:pStyle w:val="Heading1"/>
      </w:pPr>
      <w:bookmarkStart w:id="30" w:name="results"/>
      <w:r>
        <w:t xml:space="preserve">Results</w:t>
      </w:r>
      <w:bookmarkEnd w:id="30"/>
    </w:p>
    <w:p>
      <w:pPr>
        <w:pStyle w:val="FirstParagraph"/>
      </w:pPr>
      <w:r>
        <w:t xml:space="preserve">This is where the results will go in a moment. For now, notice the chunk is commented out.</w:t>
      </w:r>
    </w:p>
    <w:p>
      <w:pPr>
        <w:pStyle w:val="BodyText"/>
      </w:pPr>
      <w:r>
        <w:t xml:space="preserve">I have written the results section separately to keep things nice and tidy, and this is where I will call it as</w:t>
      </w:r>
      <w:r>
        <w:t xml:space="preserve"> </w:t>
      </w:r>
      <w:r>
        <w:t xml:space="preserve">“</w:t>
      </w:r>
      <w:r>
        <w:t xml:space="preserve">child</w:t>
      </w:r>
      <w:r>
        <w:t xml:space="preserve">”</w:t>
      </w:r>
      <w:r>
        <w:t xml:space="preserve"> </w:t>
      </w:r>
      <w:r>
        <w:t xml:space="preserve">input.</w:t>
      </w:r>
      <w:r>
        <w:t xml:space="preserve"> </w:t>
      </w:r>
      <w:r>
        <w:t xml:space="preserve">It is important that R chunks (identifiable as sandwiched between three back ticks ```) in the child file don’t have the same names as chunks in the main file.</w:t>
      </w:r>
    </w:p>
    <w:p>
      <w:pPr>
        <w:pStyle w:val="Heading1"/>
      </w:pPr>
      <w:bookmarkStart w:id="31" w:name="discussion"/>
      <w:r>
        <w:t xml:space="preserve">Discussion</w:t>
      </w:r>
      <w:bookmarkEnd w:id="31"/>
    </w:p>
    <w:p>
      <w:pPr>
        <w:pStyle w:val="FirstParagraph"/>
      </w:pPr>
      <w:r>
        <w:t xml:space="preserve">Discuss.</w:t>
      </w:r>
    </w:p>
    <w:p>
      <w:pPr>
        <w:pStyle w:val="Heading1"/>
      </w:pPr>
      <w:bookmarkStart w:id="32" w:name="limitations"/>
      <w:r>
        <w:t xml:space="preserve">Limitations</w:t>
      </w:r>
      <w:bookmarkEnd w:id="32"/>
    </w:p>
    <w:p>
      <w:pPr>
        <w:pStyle w:val="FirstParagraph"/>
      </w:pPr>
      <w:r>
        <w:t xml:space="preserve">Beat reviewer #2 to the punch!</w:t>
      </w:r>
    </w:p>
    <w:p>
      <w:pPr>
        <w:pStyle w:val="Heading1"/>
      </w:pPr>
      <w:bookmarkStart w:id="33" w:name="references"/>
      <w:r>
        <w:t xml:space="preserve">References</w:t>
      </w:r>
      <w:bookmarkEnd w:id="33"/>
    </w:p>
    <w:bookmarkStart w:id="38" w:name="refs"/>
    <w:bookmarkStart w:id="34" w:name="ref-brodeur2016"/>
    <w:p>
      <w:pPr>
        <w:pStyle w:val="Bibliography"/>
      </w:pPr>
      <w:r>
        <w:t xml:space="preserve">Brodeur, A., Lé, M., Sangnier, M., &amp; Zylberberg, Y. (2016). Star wars: The empirics strike back.</w:t>
      </w:r>
      <w:r>
        <w:t xml:space="preserve"> </w:t>
      </w:r>
      <w:r>
        <w:rPr>
          <w:i/>
        </w:rPr>
        <w:t xml:space="preserve">American Economic Journal: Applied Economics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(1), 1–32.</w:t>
      </w:r>
    </w:p>
    <w:bookmarkEnd w:id="34"/>
    <w:bookmarkStart w:id="35" w:name="ref-bundy1984"/>
    <w:p>
      <w:pPr>
        <w:pStyle w:val="Bibliography"/>
      </w:pPr>
      <w:r>
        <w:t xml:space="preserve">Bundy, M., Kennan, G. F., McNamara, R. S., &amp; Smith, G. (1984). The president’s choice: Star wars or arms control.</w:t>
      </w:r>
      <w:r>
        <w:t xml:space="preserve"> </w:t>
      </w:r>
      <w:r>
        <w:rPr>
          <w:i/>
        </w:rPr>
        <w:t xml:space="preserve">Foreign Aff.</w:t>
      </w:r>
      <w:r>
        <w:t xml:space="preserve">,</w:t>
      </w:r>
      <w:r>
        <w:t xml:space="preserve"> </w:t>
      </w:r>
      <w:r>
        <w:rPr>
          <w:i/>
        </w:rPr>
        <w:t xml:space="preserve">63</w:t>
      </w:r>
      <w:r>
        <w:t xml:space="preserve">, 264.</w:t>
      </w:r>
    </w:p>
    <w:bookmarkEnd w:id="35"/>
    <w:bookmarkStart w:id="36" w:name="ref-lucas1977"/>
    <w:p>
      <w:pPr>
        <w:pStyle w:val="Bibliography"/>
      </w:pPr>
      <w:r>
        <w:t xml:space="preserve">Lucas, G., &amp; Powell, M. (1977).</w:t>
      </w:r>
      <w:r>
        <w:t xml:space="preserve"> </w:t>
      </w:r>
      <w:r>
        <w:rPr>
          <w:i/>
        </w:rPr>
        <w:t xml:space="preserve">Star wars</w:t>
      </w:r>
      <w:r>
        <w:t xml:space="preserve">. Royal Blind Society of New South Wales.</w:t>
      </w:r>
    </w:p>
    <w:bookmarkEnd w:id="36"/>
    <w:bookmarkStart w:id="37" w:name="ref-means1985"/>
    <w:p>
      <w:pPr>
        <w:pStyle w:val="Bibliography"/>
      </w:pPr>
      <w:r>
        <w:t xml:space="preserve">Means, M. L., &amp; Voss, J. F. (1985). Star wars: A developmental study of expert and novice knowledge structures.</w:t>
      </w:r>
      <w:r>
        <w:t xml:space="preserve"> </w:t>
      </w:r>
      <w:r>
        <w:rPr>
          <w:i/>
        </w:rPr>
        <w:t xml:space="preserve">Journal of Memory and Language</w:t>
      </w:r>
      <w:r>
        <w:t xml:space="preserve">,</w:t>
      </w:r>
      <w:r>
        <w:t xml:space="preserve"> </w:t>
      </w:r>
      <w:r>
        <w:rPr>
          <w:i/>
        </w:rPr>
        <w:t xml:space="preserve">24</w:t>
      </w:r>
      <w:r>
        <w:t xml:space="preserve">(6), 746–757.</w:t>
      </w:r>
    </w:p>
    <w:bookmarkEnd w:id="37"/>
    <w:bookmarkEnd w:id="38"/>
    <w:sectPr w:rsidR="00F8293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the footnote.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43E034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C207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C2075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C2075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5C2075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5C2075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5C2075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rsid w:val="005C2075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C2075"/>
    <w:pPr>
      <w:keepNext/>
      <w:keepLines/>
      <w:spacing w:before="480" w:after="240"/>
      <w:jc w:val="center"/>
    </w:pPr>
    <w:rPr>
      <w:rFonts w:ascii="Cambria" w:eastAsiaTheme="majorEastAsia" w:hAnsi="Cambr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5C2075"/>
    <w:pPr>
      <w:spacing w:before="240"/>
    </w:pPr>
    <w:rPr>
      <w:rFonts w:asciiTheme="minorHAnsi" w:hAnsiTheme="minorHAnsi"/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3C124A"/>
    <w:rPr>
      <w:color w:va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C124A"/>
    <w:pPr>
      <w:spacing w:before="240" w:line="259" w:lineRule="auto"/>
      <w:outlineLvl w:val="9"/>
    </w:pPr>
    <w:rPr>
      <w:b w:val="0"/>
      <w:bCs w:val="0"/>
    </w:rPr>
  </w:style>
  <w:style w:type="character" w:customStyle="1" w:styleId="Heading7Char">
    <w:name w:val="Heading 7 Char"/>
    <w:basedOn w:val="DefaultParagraphFont"/>
    <w:link w:val="Heading7"/>
    <w:rsid w:val="005C2075"/>
    <w:rPr>
      <w:rFonts w:eastAsiaTheme="majorEastAsia" w:cstheme="majorBidi"/>
      <w:i/>
      <w:iCs/>
      <w:color w:val="404040" w:themeColor="text1" w:themeTint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4" Target="https://github.com/ThinkR-open/remedy" TargetMode="External" /><Relationship Type="http://schemas.openxmlformats.org/officeDocument/2006/relationships/hyperlink" Id="rId23" Target="https://www.tablesgenerator.com/markdown_tabl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ithub.com/ThinkR-open/remedy" TargetMode="External" /><Relationship Type="http://schemas.openxmlformats.org/officeDocument/2006/relationships/hyperlink" Id="rId23" Target="https://www.tablesgenerator.com/markdown_t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</dc:title>
  <dc:creator>Thea Knowles1, Thea Knowles’ Alter Ego2; 1University at Buffalo, 2Western University</dc:creator>
  <cp:keywords/>
  <dcterms:created xsi:type="dcterms:W3CDTF">2020-01-11T21:20:01Z</dcterms:created>
  <dcterms:modified xsi:type="dcterms:W3CDTF">2020-01-11T21:20:01Z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starwars_refs.bib</vt:lpwstr>
  </property>
  <property fmtid="{D5CDD505-2E9C-101B-9397-08002B2CF9AE}" pid="3" name="csl">
    <vt:lpwstr>apa.csl</vt:lpwstr>
  </property>
  <property fmtid="{D5CDD505-2E9C-101B-9397-08002B2CF9AE}" pid="4" name="date">
    <vt:lpwstr>Last updated: 11 January, 2020</vt:lpwstr>
  </property>
  <property fmtid="{D5CDD505-2E9C-101B-9397-08002B2CF9AE}" pid="5" name="include.latex">
    <vt:lpwstr>True</vt:lpwstr>
  </property>
  <property fmtid="{D5CDD505-2E9C-101B-9397-08002B2CF9AE}" pid="6" name="output">
    <vt:lpwstr/>
  </property>
  <property fmtid="{D5CDD505-2E9C-101B-9397-08002B2CF9AE}" pid="7" name="subtitle">
    <vt:lpwstr>Generated using RMarkdown</vt:lpwstr>
  </property>
</Properties>
</file>