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B4F72"/>
          <w:sz w:val="72"/>
          <w:szCs w:val="72"/>
        </w:rPr>
        <w:t xml:space="preserve">SHDT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A5568"/>
          <w:sz w:val="36"/>
          <w:szCs w:val="36"/>
        </w:rPr>
        <w:t xml:space="preserve">Build Order &amp; Roadmap</w:t>
      </w:r>
    </w:p>
    <w:p>
      <w:pPr>
        <w:spacing w:after="360" w:before="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Sequenced plan from foundations through hero features</w:t>
      </w:r>
    </w:p>
    <w:p>
      <w:pPr>
        <w:pBdr>
          <w:top w:val="single" w:color="1B4F72" w:sz="12" w:space="4"/>
        </w:pBdr>
        <w:spacing w:after="60" w:before="24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Sean O’Connor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Author: </w:t>
      </w:r>
      <w:r>
        <w:rPr>
          <w:rFonts w:ascii="Calibri" w:cs="Calibri" w:eastAsia="Calibri" w:hAnsi="Calibri"/>
          <w:sz w:val="22"/>
          <w:szCs w:val="22"/>
        </w:rPr>
        <w:t xml:space="preserve">Claude (Opus 4.7)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29 April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Scope: </w:t>
      </w:r>
      <w:r>
        <w:rPr>
          <w:rFonts w:ascii="Calibri" w:cs="Calibri" w:eastAsia="Calibri" w:hAnsi="Calibri"/>
          <w:sz w:val="22"/>
          <w:szCs w:val="22"/>
        </w:rPr>
        <w:t xml:space="preserve">Sequenced build plan covering foundations, Azure deployment, domain credibility features, IoT scaffolding and hero features. Treats SHDT as a real product, not a portfolio piece.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This plan sequences 24 work items across five phases over roughly 14 weeks. Three principles drive the order.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Foundations first</w:t>
      </w:r>
      <w:r>
        <w:rPr>
          <w:rFonts w:ascii="Calibri" w:cs="Calibri" w:eastAsia="Calibri" w:hAnsi="Calibri"/>
          <w:sz w:val="22"/>
          <w:szCs w:val="22"/>
        </w:rPr>
        <w:t xml:space="preserve"> — the codebase needs tests, observability, and a deployment story before substantial new features land, otherwise tech debt compounds.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Domain credibility before wow factor</w:t>
      </w:r>
      <w:r>
        <w:rPr>
          <w:rFonts w:ascii="Calibri" w:cs="Calibri" w:eastAsia="Calibri" w:hAnsi="Calibri"/>
          <w:sz w:val="22"/>
          <w:szCs w:val="22"/>
        </w:rPr>
        <w:t xml:space="preserve"> — anyone in housing judges the basics first (compliance, TSMs, Awaab’s Law), so those land before the more visually striking features.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IoT scaffolding before vendor lands</w:t>
      </w:r>
      <w:r>
        <w:rPr>
          <w:rFonts w:ascii="Calibri" w:cs="Calibri" w:eastAsia="Calibri" w:hAnsi="Calibri"/>
          <w:sz w:val="22"/>
          <w:szCs w:val="22"/>
        </w:rPr>
        <w:t xml:space="preserve"> — building the data model, ingestion endpoint and time-series infrastructure before the IoT solution is connected means integration is a connector swap, not a project.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Phase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400"/>
        <w:gridCol w:w="39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Codebase is tested, observable, and structurally clean enough to evolve.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deployment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SHDT runs in Azure with the same data and behaviour as local; CI/CD pushes from main.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credibility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Compliance, TSM and Awaab’s Law surfaces; damp-and-mould risk model with explainability.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IoT scaffolding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data model + ingestion + live overlay on the digital twin, ready for vendor connect.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11–14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 features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Natural-language portfolio chat, climate adaptation, voice-to-work-order, board-pack PDF.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 Phase 1 — Foundations (weeks 1–3)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The codebase has the breadth, but the structural and observability foundations have not caught up. Phase 1 makes everything that follows safer and faster.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Split App.tsx and analytics_service.py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(~2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One file per Insights tab under client/src/pages/insights/, one file per Strategic Insight under server/services/insights/, with small registries the routers walk.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Test scaffolding (item 2) — refactor first without tests is risky.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App.tsx &lt; 600 lines; analytics_service.py &lt; 400 lines; behaviour parity verified by tests; no merge conflicts on related branches.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Pytest + Vitest + GitHub Actions CI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(~3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pytest fixtures and conftest for backend (with a Dockerised Postgres in CI); Vitest with @testing-library/react for the frontend; GitHub Actions running lint, typecheck and tests on every PR.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A trivial PR fails CI if it breaks tests or types; coverage shows for backend; build artifacts produced.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/healthz, /readyz and structured JSON logging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(~½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/healthz (liveness), /readyz (DB ping), request_id middleware, JSON formatter, log fields ready for Application Insights ingestion.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Probes return 200 only when the app and dependencies are healthy; every log line carries request_id, route, status, latency_ms, user_id when authenticated.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4.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Dead-code cleanup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(~½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Either reinstate Scenarios deliberately or remove server/routers/scenarios.py + client/src/pages/ScenarioPlanner.tsx. Remove server/services/enrichment/monitor.py (broken import). Resolve duplicate database/migrations/004_enrichment*.sql.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Repo grep shows no references to deleted modules; migrations apply cleanly on a fresh database.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Alembic for migrations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(~½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Replace ad-hoc SQL files with Alembic. Baseline current schema; existing 002–011 migrations imported as versioned revisions.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 4 (resolve duplicate 004_enrichment).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`alembic upgrade head` reproduces the production schema on an empty database; downgrade to base works; new migrations are auto-generated.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6.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SecretsProvider + Storage abstractions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A `SecretsProvider` interface with LocalDotenv and AzureKeyVault implementations. A `Storage` interface with LocalFilesystem and AzureBlob implementations. All file IO and secret reads go through these.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No raw os.environ.get() outside the SecretsProvider; no open()/read of bulk data outside the Storage interface; switching providers via env var requires no code changes.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 Phase 2 — Azure deployment (weeks 4–5)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Treats the migration as a single coherent piece of work rather than a scatter of small ports. The codebase changes are minimal; the infrastructure work is moderate.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7.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Multi-stage Docker images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Production-grade Dockerfiles for backend (python:3.11-slim, multi-stage, non-root user) and frontend (node build → nginx serve). Same images run via docker-compose.prod.yml locally and in Azure.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 6 (config-via-env)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docker-compose -f docker-compose.prod.yml up boots a working stack; images &lt; 500 MB; tagged versions push to a registry (GHCR or ACR).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Azure Database for PostgreSQL Flexible Server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Flexible Server provisioned with Geospatial extension; init.sql + Alembic migrations applied; connection string in Key Vault.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 5 (Alembic), Item 6 (Key Vault)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Backend connects to Azure DB from Container Apps; PostGIS spatial queries return identical results to local.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9.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Container Apps + Static Web Apps + Application Insights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(~2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Backend deployed to Azure Container Apps (auto-scale 1–N), frontend to Azure Static Web Apps. Application Insights collects traces, exceptions and dependency calls. Custom domain and TLS certs configured.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Items 3, 7, 8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A request to https://app.shdt.example.com hits the SPA, calls the API, returns property data, and shows up in App Insights with full traces.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10.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Blob Storage for file assets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Excel uploads, OS UPRN cache, IoD CSV downloads, EPC bulk files all routed through the Storage abstraction backed by Azure Blob in production.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 6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No local filesystem reads in production code paths; uploads survive container restarts; the OS UPRN cache is shared across instances.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11.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GitHub Actions CD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Push to `main` builds backend and frontend images, pushes to ACR/GHCR, runs migrations against staging, deploys to Container Apps with revision-based blue/green.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Items 2, 9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Merging a PR to main results in a deployed change in staging within 10 minutes; rollback is one click.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 Phase 3 — Domain credibility (weeks 6–8)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Four features that change how the project reads to anyone in the housing sector. Compliance, TSMs and Awaab’s Law are table stakes for anyone judging this against a real housing system; the damp-and-mould risk model is the differentiator.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12.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Statutory compliance dashboard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(~2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Five tiles — gas (CP12), electrical (EICR), Fire Risk Assessment, asbestos register, water hygiene/Legionella. Per-property next-due dates, RAG status, drill-down list, "Generate compliance pack" PDF.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Compliance page renders portfolio totals; clicking a tile filters the property list; PDF export contains every property with its compliance status.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13.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Tenant Satisfaction Measures dashboard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(~2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All 22 TSMs with the regulator’s exact codes (TP01–TP12, RP01–RP02, BP01, CH01–CH02, NM01, AS01). Synthetic survey data initially, structured for swap-in real data later.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TSM page renders all 22 measures with portfolio scores; export to CSV in the regulator’s submission format.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14.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Awaab’s Law caseload board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(~2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Kanban: Reported → Investigated → Repair scheduled → Repaired → Closed. 14-day investigation SLA clock and 7-day emergency repair SLA clock. Breaches escalate as critical Strategic Insights.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Cases auto-update SLA status as time passes; breaches trigger an Insight card; cases link to the property and to the originating complaint.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15.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Damp-and-mould risk model with explanation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(~3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Per-property risk score (0–100) computed from EPC + overcrowding + complaint text + heating type + age + ventilation proxy + IoT humidity (when available). Glass-box: every score has an "explanation" panel listing factors and weights.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 14 (caseload integration), Item 19 (will gain sensor input later)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Risk score column is populated for every property; new map heatmap layer for damp/mould; new Insight card with top-10 highest-risk properties; explanation panel renders in PropertyDetailPanel.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 Phase 4 — IoT scaffolding (weeks 9–10)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Done before the procured IoT solution arrives, so the integration is a vendor connector swap rather than a stand-up project.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16.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Sensor data model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New tables: `sensors` (device_id, property_id FK, vendor, model, location_in_property, installed_at, status), `sensor_readings` (sensor_id, ts, metric, value, quality). Time-series partitioned by month.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 5 (Alembic)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Schema applied via Alembic; foreign keys to properties via UPRN; indexes on (sensor_id, ts DESC).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17.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Time-series infrastructure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(~2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Enable TimescaleDB on the existing Postgres (sensor_readings becomes a hypertable; continuous aggregates for hourly/daily rollups). Document the migration path to Azure Data Explorer for very high volume.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 16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Inserts at 1k readings/second do not affect query latency; hourly aggregate query returns in &lt;100ms; retention policy automatically drops raw data older than 90 days while keeping aggregates.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18.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Vendor-agnostic ingestion endpoint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POST /api/iot/readings webhook accepting batched readings. Authenticated by per-vendor API key. Validates UPRN, sensor exists, metric in allow-list. Writes to sensor_readings.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Items 16, 17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A documented OpenAPI spec; rate-limited; rejects unknown sensors; integration tests covering happy path, malformed payload, unknown sensor, replay protection.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19.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Live overlay on PropertyViewer3D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(~3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Animate temperature, humidity and CO₂ on the existing 3D model with a 7-day playback slider, served from the readings table via a /api/iot/timeseries endpoint. Seeded with simulated data so the UI works before the vendor is connected.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Items 17, 18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Slider scrubs through 7 days; values update in real-time; missing-data periods are visually distinct; legend explains scale.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20.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Sensor-driven damp/mould signal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When humidity &gt; 65% for &gt;12h alongside temperature &lt; 16°C, raise property risk score and create an Awaab’s Law case in "Reported" state.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Items 15, 18, 19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A controlled simulation produces a case automatically; the case shows the triggering readings; the property risk score updates within 5 minutes.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 Phase 5 — Hero features (weeks 11–14)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Four features that, well-executed, materially raise the ceiling on what SHDT can credibly claim.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21.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"Ask the portfolio" natural-language chat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(~3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A query box that compiles natural language into SQL using Anthropic Claude with function-calling, runs it against a read-only role, and renders the answer as a filterable map view. A "How was this answered?" panel shows the SQL.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Items 1, 6 (Secrets)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Twenty test queries return correct answers; rejects DDL/DML; cannot read sensitive PII columns; logs every query for audit.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22.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Climate adaptation map layer (UKCP18)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(~3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Layer UKCP18 climate projections for 2030/2050/2080 sea level + flood return periods on the existing EA flood map. Per-property climate-resilience score. Headline KPI: "by 2050, X% of stock has Medium+ exposure".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Map toggle for 2030/2050/2080; per-property score in the detail panel; Insight card for "Stock exposed to sea-level rise by 2050".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23.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Voice-to-work-order surveyor capture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(~3 days)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A surveyor mobile route records a 30-second audio note → Whisper transcription → Claude extracts structured fields (UPRN, component, condition 1–5, action) → creates a maintenance_records row.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Items 6, 16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A test on five real audio notes correctly populates work orders with &gt;90% field accuracy; surveyor sees a confirmation screen before commit.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24. </w:t>
      </w: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Board-pack PDF report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(~1 day)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A single-click portfolio report — overview, top 10 risk properties, retrofit priorities, capital programme, compliance status, TSM summary. Branded, A4, exportable to email.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Depends on: </w:t>
      </w:r>
      <w:r>
        <w:rPr>
          <w:rFonts w:ascii="Calibri" w:cs="Calibri" w:eastAsia="Calibri" w:hAnsi="Calibri"/>
          <w:sz w:val="22"/>
          <w:szCs w:val="22"/>
        </w:rPr>
        <w:t xml:space="preserve">Items 12, 13, 15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Definition of done: </w:t>
      </w:r>
      <w:r>
        <w:rPr>
          <w:rFonts w:ascii="Calibri" w:cs="Calibri" w:eastAsia="Calibri" w:hAnsi="Calibri"/>
          <w:sz w:val="22"/>
          <w:szCs w:val="22"/>
        </w:rPr>
        <w:t xml:space="preserve">PDF generated in &lt;30 seconds for a 20K-property portfolio; deterministic output; downloaded with a versioned filename.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 Risks and dependency notes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Item 1 (refactor) before item 2 (tests) is the single biggest risk in the plan. </w:t>
      </w:r>
      <w:r>
        <w:rPr>
          <w:rFonts w:ascii="Calibri" w:cs="Calibri" w:eastAsia="Calibri" w:hAnsi="Calibri"/>
          <w:sz w:val="22"/>
          <w:szCs w:val="22"/>
        </w:rPr>
        <w:t xml:space="preserve">Resist the temptation. Without test coverage, the split will introduce subtle behaviour drift that is hard to diagnose.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Items 8–11 (Azure) require Azure credentials, a tenant, and at least an estimate of expected cost. </w:t>
      </w:r>
      <w:r>
        <w:rPr>
          <w:rFonts w:ascii="Calibri" w:cs="Calibri" w:eastAsia="Calibri" w:hAnsi="Calibri"/>
          <w:sz w:val="22"/>
          <w:szCs w:val="22"/>
        </w:rPr>
        <w:t xml:space="preserve">Container Apps + Flexible Server + Static Web Apps is roughly £40–£120 / month at low usage with autoscale-to-zero on the backend.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Item 17 (TimescaleDB) </w:t>
      </w:r>
      <w:r>
        <w:rPr>
          <w:rFonts w:ascii="Calibri" w:cs="Calibri" w:eastAsia="Calibri" w:hAnsi="Calibri"/>
          <w:sz w:val="22"/>
          <w:szCs w:val="22"/>
        </w:rPr>
        <w:t xml:space="preserve">is supported on Azure Database for PostgreSQL Flexible Server but only on specific extension allow-lists. Verify before committing; the fallback is to keep readings in vanilla Postgres with monthly partitioning.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Item 21 ("Ask the portfolio") </w:t>
      </w:r>
      <w:r>
        <w:rPr>
          <w:rFonts w:ascii="Calibri" w:cs="Calibri" w:eastAsia="Calibri" w:hAnsi="Calibri"/>
          <w:sz w:val="22"/>
          <w:szCs w:val="22"/>
        </w:rPr>
        <w:t xml:space="preserve">must use a read-only DB role and an allow-list of tables. The provenance toggle is what makes it credible to housing managers — do not skip 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Item 22 (UKCP18) </w:t>
      </w:r>
      <w:r>
        <w:rPr>
          <w:rFonts w:ascii="Calibri" w:cs="Calibri" w:eastAsia="Calibri" w:hAnsi="Calibri"/>
          <w:sz w:val="22"/>
          <w:szCs w:val="22"/>
        </w:rPr>
        <w:t xml:space="preserve">source data is large (multi-GB NetCDF). Pre-process locally into a smaller derived dataset (per-LSOA score per scenario per epoch) rather than streaming raw NetCDF in production.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 IoT procurement requirements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Four contractual requirements to insist on with whoever is selected. These are cheap to ask for now and very expensive to retrofit later.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Insist on direct webhook or REST access to raw readings. </w:t>
      </w:r>
      <w:r>
        <w:rPr>
          <w:rFonts w:ascii="Calibri" w:cs="Calibri" w:eastAsia="Calibri" w:hAnsi="Calibri"/>
          <w:sz w:val="22"/>
          <w:szCs w:val="22"/>
        </w:rPr>
        <w:t xml:space="preserve">Do not accept "vendor dashboard + CSV export" as the integration story.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UPRN as the device-to-property identifier in the contract. </w:t>
      </w:r>
      <w:r>
        <w:rPr>
          <w:rFonts w:ascii="Calibri" w:cs="Calibri" w:eastAsia="Calibri" w:hAnsi="Calibri"/>
          <w:sz w:val="22"/>
          <w:szCs w:val="22"/>
        </w:rPr>
        <w:t xml:space="preserve">Some vendors use their own internal IDs; resolving those back to UPRN is its own project.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Per-vendor API key, scoped to /api/iot/readings only. </w:t>
      </w:r>
      <w:r>
        <w:rPr>
          <w:rFonts w:ascii="Calibri" w:cs="Calibri" w:eastAsia="Calibri" w:hAnsi="Calibri"/>
          <w:sz w:val="22"/>
          <w:szCs w:val="22"/>
        </w:rPr>
        <w:t xml:space="preserve">Rotate annually. Log the vendor on every reading.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the sensor calibration regime upfront. </w:t>
      </w:r>
      <w:r>
        <w:rPr>
          <w:rFonts w:ascii="Calibri" w:cs="Calibri" w:eastAsia="Calibri" w:hAnsi="Calibri"/>
          <w:sz w:val="22"/>
          <w:szCs w:val="22"/>
        </w:rPr>
        <w:t xml:space="preserve">Drift on humidity sensors will quietly poison your damp/mould model if not caught.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 Closing thoughts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The plan is sequenced for compounding effect — every phase makes the next phase faster, cheaper or more credible. The single most important decision in the plan is the order of items 1 and 2: tests first, then refactor. That single choice is the difference between a clean evolution and a long debugging tail.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On budget: Phase 1 is mostly local, no extra cost. Phase 2 introduces Azure spend at ~£40–£120 / month for low-load configurations. Phases 3–5 may incur small costs (Anthropic API for natural-language and voice features, possibly a UKCP18 dataset preprocessing pipeline) but nothing that would surprise a normal product budget.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SHDT — Build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SHDT Build Order &amp; Roadmap</dc:title>
  <dc:creator>Claude (Opus 4.7) for Sean O’Connor</dc:creator>
  <dc:description>Sequenced 14-week plan covering foundations through hero features</dc:description>
  <cp:lastModifiedBy>Un-named</cp:lastModifiedBy>
  <cp:revision>1</cp:revision>
  <dcterms:created xsi:type="dcterms:W3CDTF">2026-04-30T07:36:48.671Z</dcterms:created>
  <dcterms:modified xsi:type="dcterms:W3CDTF">2026-04-30T07:36:48.674Z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