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1B4F72"/>
          <w:sz w:val="72"/>
          <w:szCs w:val="72"/>
        </w:rPr>
        <w:t xml:space="preserve">SHDT</w:t>
      </w:r>
    </w:p>
    <w:p>
      <w:pPr>
        <w:spacing w:after="80" w:before="0"/>
      </w:pPr>
      <w:r>
        <w:rPr>
          <w:rFonts w:ascii="Calibri" w:cs="Calibri" w:eastAsia="Calibri" w:hAnsi="Calibri"/>
          <w:b/>
          <w:bCs/>
          <w:color w:val="4A5568"/>
          <w:sz w:val="36"/>
          <w:szCs w:val="36"/>
        </w:rPr>
        <w:t xml:space="preserve">Social Housing Digital Twin</w:t>
      </w:r>
    </w:p>
    <w:p>
      <w:pPr>
        <w:spacing w:after="360" w:before="0"/>
      </w:pPr>
      <w:r>
        <w:rPr>
          <w:rFonts w:ascii="Calibri" w:cs="Calibri" w:eastAsia="Calibri" w:hAnsi="Calibri"/>
          <w:color w:val="6B7280"/>
          <w:sz w:val="28"/>
          <w:szCs w:val="28"/>
        </w:rPr>
        <w:t xml:space="preserve">Project Review &amp; Roadmap</w:t>
      </w:r>
    </w:p>
    <w:p>
      <w:pPr>
        <w:pBdr>
          <w:top w:val="single" w:color="1B4F72" w:sz="12" w:space="4"/>
        </w:pBdr>
        <w:spacing w:after="60" w:before="0"/>
      </w:pPr>
      <w:r>
        <w:rPr>
          <w:rFonts w:ascii="Calibri" w:cs="Calibri" w:eastAsia="Calibri" w:hAnsi="Calibri"/>
          <w:sz w:val="4"/>
          <w:szCs w:val="4"/>
        </w:rPr>
        <w:t xml:space="preserve"/>
      </w:r>
    </w:p>
    <w:p>
      <w:pPr>
        <w:spacing w:after="60" w:before="240"/>
      </w:pPr>
      <w:r>
        <w:rPr>
          <w:rFonts w:ascii="Calibri" w:cs="Calibri" w:eastAsia="Calibri" w:hAnsi="Calibri"/>
          <w:b/>
          <w:bCs/>
          <w:color w:val="4A5568"/>
          <w:sz w:val="22"/>
          <w:szCs w:val="22"/>
        </w:rPr>
        <w:t xml:space="preserve">Prepared for: </w:t>
      </w:r>
      <w:r>
        <w:rPr>
          <w:rFonts w:ascii="Calibri" w:cs="Calibri" w:eastAsia="Calibri" w:hAnsi="Calibri"/>
          <w:sz w:val="22"/>
          <w:szCs w:val="22"/>
        </w:rPr>
        <w:t xml:space="preserve">Sean O’Connor</w:t>
      </w:r>
    </w:p>
    <w:p>
      <w:pPr>
        <w:spacing w:after="60"/>
      </w:pPr>
      <w:r>
        <w:rPr>
          <w:rFonts w:ascii="Calibri" w:cs="Calibri" w:eastAsia="Calibri" w:hAnsi="Calibri"/>
          <w:b/>
          <w:bCs/>
          <w:color w:val="4A5568"/>
          <w:sz w:val="22"/>
          <w:szCs w:val="22"/>
        </w:rPr>
        <w:t xml:space="preserve">Author: </w:t>
      </w:r>
      <w:r>
        <w:rPr>
          <w:rFonts w:ascii="Calibri" w:cs="Calibri" w:eastAsia="Calibri" w:hAnsi="Calibri"/>
          <w:sz w:val="22"/>
          <w:szCs w:val="22"/>
        </w:rPr>
        <w:t xml:space="preserve">Claude (Opus 4.7)</w:t>
      </w:r>
    </w:p>
    <w:p>
      <w:pPr>
        <w:spacing w:after="60"/>
      </w:pPr>
      <w:r>
        <w:rPr>
          <w:rFonts w:ascii="Calibri" w:cs="Calibri" w:eastAsia="Calibri" w:hAnsi="Calibri"/>
          <w:b/>
          <w:bCs/>
          <w:color w:val="4A5568"/>
          <w:sz w:val="22"/>
          <w:szCs w:val="22"/>
        </w:rPr>
        <w:t xml:space="preserve">Date: </w:t>
      </w:r>
      <w:r>
        <w:rPr>
          <w:rFonts w:ascii="Calibri" w:cs="Calibri" w:eastAsia="Calibri" w:hAnsi="Calibri"/>
          <w:sz w:val="22"/>
          <w:szCs w:val="22"/>
        </w:rPr>
        <w:t xml:space="preserve">29 April 2026</w:t>
      </w:r>
    </w:p>
    <w:p>
      <w:pPr>
        <w:spacing w:after="60"/>
      </w:pPr>
      <w:r>
        <w:rPr>
          <w:rFonts w:ascii="Calibri" w:cs="Calibri" w:eastAsia="Calibri" w:hAnsi="Calibri"/>
          <w:b/>
          <w:bCs/>
          <w:color w:val="4A5568"/>
          <w:sz w:val="22"/>
          <w:szCs w:val="22"/>
        </w:rPr>
        <w:t xml:space="preserve">Scope: </w:t>
      </w:r>
      <w:r>
        <w:rPr>
          <w:rFonts w:ascii="Calibri" w:cs="Calibri" w:eastAsia="Calibri" w:hAnsi="Calibri"/>
          <w:sz w:val="22"/>
          <w:szCs w:val="22"/>
        </w:rPr>
        <w:t xml:space="preserve">Independent review of the SHDT codebase, data pipeline and product surface; recommended next builds and competitive context.</w:t>
      </w:r>
    </w:p>
    <w:p>
      <w:pPr>
        <w:spacing w:after="60"/>
      </w:pPr>
      <w:r>
        <w:rPr>
          <w:rFonts w:ascii="Calibri" w:cs="Calibri" w:eastAsia="Calibri" w:hAnsi="Calibri"/>
          <w:b/>
          <w:bCs/>
          <w:color w:val="4A5568"/>
          <w:sz w:val="22"/>
          <w:szCs w:val="22"/>
        </w:rPr>
        <w:t xml:space="preserve">Context: </w:t>
      </w:r>
      <w:r>
        <w:rPr>
          <w:rFonts w:ascii="Calibri" w:cs="Calibri" w:eastAsia="Calibri" w:hAnsi="Calibri"/>
          <w:sz w:val="22"/>
          <w:szCs w:val="22"/>
        </w:rPr>
        <w:t xml:space="preserve">Personal portfolio project — review framed accordingly.</w:t>
      </w:r>
    </w:p>
    <w:p>
      <w:pPr>
        <w:pageBreakBefore/>
      </w:pPr>
      <w:r>
        <w:t xml:space="preserve"/>
      </w:r>
    </w:p>
    <w:p>
      <w:pPr>
        <w:pStyle w:val="Heading1"/>
        <w:spacing w:after="160" w:before="360"/>
      </w:pPr>
      <w:r>
        <w:rPr>
          <w:rFonts w:ascii="Calibri" w:cs="Calibri" w:eastAsia="Calibri" w:hAnsi="Calibri"/>
          <w:b/>
          <w:bCs/>
          <w:color w:val="1B4F72"/>
          <w:sz w:val="32"/>
          <w:szCs w:val="32"/>
        </w:rPr>
        <w:t xml:space="preserve">1. Executive summary</w:t>
      </w:r>
    </w:p>
    <w:p>
      <w:pPr>
        <w:spacing w:after="100" w:line="300"/>
      </w:pPr>
      <w:r>
        <w:rPr>
          <w:rFonts w:ascii="Calibri" w:cs="Calibri" w:eastAsia="Calibri" w:hAnsi="Calibri"/>
          <w:sz w:val="22"/>
          <w:szCs w:val="22"/>
        </w:rPr>
        <w:t xml:space="preserve">SHDT is a much more ambitious project than its current label as a "personal portfolio project" suggests. The codebase has </w:t>
      </w:r>
      <w:r>
        <w:rPr>
          <w:rFonts w:ascii="Calibri" w:cs="Calibri" w:eastAsia="Calibri" w:hAnsi="Calibri"/>
          <w:b/>
          <w:bCs/>
          <w:sz w:val="22"/>
          <w:szCs w:val="22"/>
        </w:rPr>
        <w:t xml:space="preserve">genuine breadth</w:t>
      </w:r>
      <w:r>
        <w:rPr>
          <w:rFonts w:ascii="Calibri" w:cs="Calibri" w:eastAsia="Calibri" w:hAnsi="Calibri"/>
          <w:sz w:val="22"/>
          <w:szCs w:val="22"/>
        </w:rPr>
        <w:t xml:space="preserve"> — 16 frontend pages, 120+ API endpoints across 16 routers, ~21,000 lines of Python service code, 10 working enrichment integrations against UK open-data sources, a PostGIS-backed property model with 70+ columns, a real component-lifecycle data model, and a 3D viewer that pulls actual building footprints from OpenStreetMap. The Strategic Insights engine is the strongest single piece — cross-correlating IoD 2025, EA flood, Census, broadband and operational data into ten ranked insight cards, each with isolated error handling so one query failure does not collapse the page.</w:t>
      </w:r>
    </w:p>
    <w:p>
      <w:pPr>
        <w:spacing w:after="100" w:line="300"/>
      </w:pPr>
      <w:r>
        <w:rPr>
          <w:rFonts w:ascii="Calibri" w:cs="Calibri" w:eastAsia="Calibri" w:hAnsi="Calibri"/>
          <w:sz w:val="22"/>
          <w:szCs w:val="22"/>
        </w:rPr>
        <w:t xml:space="preserve">The honest gaps fall into three categories. </w:t>
      </w:r>
      <w:r>
        <w:rPr>
          <w:rFonts w:ascii="Calibri" w:cs="Calibri" w:eastAsia="Calibri" w:hAnsi="Calibri"/>
          <w:b/>
          <w:bCs/>
          <w:sz w:val="22"/>
          <w:szCs w:val="22"/>
        </w:rPr>
        <w:t xml:space="preserve">First</w:t>
      </w:r>
      <w:r>
        <w:rPr>
          <w:rFonts w:ascii="Calibri" w:cs="Calibri" w:eastAsia="Calibri" w:hAnsi="Calibri"/>
          <w:sz w:val="22"/>
          <w:szCs w:val="22"/>
        </w:rPr>
        <w:t xml:space="preserve">, code hygiene is mixed: a 4,100-line App.tsx, a 1,600-line analytics service, no automated tests anywhere in the project, an enrichment-monitor module that imports from a non-existent app.models package, duplicate migration files, and a Scenarios router/page still present despite the transition doc saying it was removed. </w:t>
      </w:r>
      <w:r>
        <w:rPr>
          <w:rFonts w:ascii="Calibri" w:cs="Calibri" w:eastAsia="Calibri" w:hAnsi="Calibri"/>
          <w:b/>
          <w:bCs/>
          <w:sz w:val="22"/>
          <w:szCs w:val="22"/>
        </w:rPr>
        <w:t xml:space="preserve">Second</w:t>
      </w:r>
      <w:r>
        <w:rPr>
          <w:rFonts w:ascii="Calibri" w:cs="Calibri" w:eastAsia="Calibri" w:hAnsi="Calibri"/>
          <w:sz w:val="22"/>
          <w:szCs w:val="22"/>
        </w:rPr>
        <w:t xml:space="preserve">, the data picture has known holes — EPC blocked on an API key, crime enrichment thin, and Census being acknowledged as synthetic. </w:t>
      </w:r>
      <w:r>
        <w:rPr>
          <w:rFonts w:ascii="Calibri" w:cs="Calibri" w:eastAsia="Calibri" w:hAnsi="Calibri"/>
          <w:b/>
          <w:bCs/>
          <w:sz w:val="22"/>
          <w:szCs w:val="22"/>
        </w:rPr>
        <w:t xml:space="preserve">Third</w:t>
      </w:r>
      <w:r>
        <w:rPr>
          <w:rFonts w:ascii="Calibri" w:cs="Calibri" w:eastAsia="Calibri" w:hAnsi="Calibri"/>
          <w:sz w:val="22"/>
          <w:szCs w:val="22"/>
        </w:rPr>
        <w:t xml:space="preserve">, the product is missing the things that make a real social-housing system credible to anyone in the sector: statutory compliance tracking, Tenant Satisfaction Measures, damp-and-mould risk modelling, and a stock-condition workflow. None of these are blockers for a portfolio project, but each one is a 1–3 day build that materially raises the project’s credibility with anyone who works in housing.</w:t>
      </w:r>
    </w:p>
    <w:p>
      <w:pPr>
        <w:spacing w:after="100" w:line="300"/>
      </w:pPr>
      <w:r>
        <w:rPr>
          <w:rFonts w:ascii="Calibri" w:cs="Calibri" w:eastAsia="Calibri" w:hAnsi="Calibri"/>
          <w:sz w:val="22"/>
          <w:szCs w:val="22"/>
        </w:rPr>
        <w:t xml:space="preserve">The single highest-leverage thing to build next is a </w:t>
      </w:r>
      <w:r>
        <w:rPr>
          <w:rFonts w:ascii="Calibri" w:cs="Calibri" w:eastAsia="Calibri" w:hAnsi="Calibri"/>
          <w:b/>
          <w:bCs/>
          <w:sz w:val="22"/>
          <w:szCs w:val="22"/>
        </w:rPr>
        <w:t xml:space="preserve">damp-and-mould risk model and Awaab’s Law caseload tracker</w:t>
      </w:r>
      <w:r>
        <w:rPr>
          <w:rFonts w:ascii="Calibri" w:cs="Calibri" w:eastAsia="Calibri" w:hAnsi="Calibri"/>
          <w:sz w:val="22"/>
          <w:szCs w:val="22"/>
        </w:rPr>
        <w:t xml:space="preserve">. It is the regulatory issue dominating the social-housing sector right now, the data you already hold is largely sufficient, and the resulting screen would tell anyone glancing at the project that you understand the domain at a level beyond data plumbing.</w:t>
      </w:r>
    </w:p>
    <w:p>
      <w:pPr>
        <w:pStyle w:val="Heading3"/>
        <w:spacing w:after="80" w:before="180"/>
      </w:pPr>
      <w:r>
        <w:rPr>
          <w:rFonts w:ascii="Calibri" w:cs="Calibri" w:eastAsia="Calibri" w:hAnsi="Calibri"/>
          <w:b/>
          <w:bCs/>
          <w:color w:val="4A5568"/>
          <w:sz w:val="22"/>
          <w:szCs w:val="22"/>
        </w:rP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pPr>
              <w:spacing w:after="0" w:line="260"/>
            </w:pPr>
            <w:r>
              <w:rPr>
                <w:rFonts w:ascii="Calibri" w:cs="Calibri" w:eastAsia="Calibri" w:hAnsi="Calibri"/>
                <w:b/>
                <w:bCs/>
                <w:color w:val="FFFFFF"/>
                <w:sz w:val="20"/>
                <w:szCs w:val="20"/>
              </w:rPr>
              <w:t xml:space="preserve">Lens</w:t>
            </w:r>
          </w:p>
        </w:tc>
        <w:tc>
          <w:tcPr>
            <w:tcW w:type="dxa" w:w="3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pPr>
              <w:spacing w:after="0" w:line="260"/>
            </w:pPr>
            <w:r>
              <w:rPr>
                <w:rFonts w:ascii="Calibri" w:cs="Calibri" w:eastAsia="Calibri" w:hAnsi="Calibri"/>
                <w:b/>
                <w:bCs/>
                <w:color w:val="FFFFFF"/>
                <w:sz w:val="20"/>
                <w:szCs w:val="20"/>
              </w:rPr>
              <w:t xml:space="preserve">Verdict</w:t>
            </w:r>
          </w:p>
        </w:tc>
        <w:tc>
          <w:tcPr>
            <w:tcW w:type="dxa" w:w="3626"/>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pPr>
              <w:spacing w:after="0" w:line="260"/>
            </w:pPr>
            <w:r>
              <w:rPr>
                <w:rFonts w:ascii="Calibri" w:cs="Calibri" w:eastAsia="Calibri" w:hAnsi="Calibri"/>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Ambition</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color w:val="1B7A2B"/>
                <w:sz w:val="20"/>
                <w:szCs w:val="20"/>
              </w:rPr>
              <w:t xml:space="preserve">Strong</w:t>
            </w:r>
          </w:p>
        </w:tc>
        <w:tc>
          <w:tcPr>
            <w:tcW w:type="dxa" w:w="3626"/>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sz w:val="20"/>
                <w:szCs w:val="20"/>
              </w:rPr>
              <w:t xml:space="preserve">10 live data integrations + Strategic Insights + 3D twin is well above hobby project scope.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sz w:val="20"/>
                <w:szCs w:val="20"/>
              </w:rPr>
              <w:t xml:space="preserve">Engineering quality</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color w:val="B7791F"/>
                <w:sz w:val="20"/>
                <w:szCs w:val="20"/>
              </w:rPr>
              <w:t xml:space="preserve">Mixed</w:t>
            </w:r>
          </w:p>
        </w:tc>
        <w:tc>
          <w:tcPr>
            <w:tcW w:type="dxa" w:w="3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sz w:val="20"/>
                <w:szCs w:val="20"/>
              </w:rPr>
              <w:t xml:space="preserve">Real architecture under the surface, but App.tsx and analytics_service have grown into monoliths. No tests.</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Data credibility</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color w:val="B7791F"/>
                <w:sz w:val="20"/>
                <w:szCs w:val="20"/>
              </w:rPr>
              <w:t xml:space="preserve">Mostly real</w:t>
            </w:r>
          </w:p>
        </w:tc>
        <w:tc>
          <w:tcPr>
            <w:tcW w:type="dxa" w:w="3626"/>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sz w:val="20"/>
                <w:szCs w:val="20"/>
              </w:rPr>
              <w:t xml:space="preserve">Live UK open-data sources mostly populated. Census is synthetic — call this out clearly in the UI.</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sz w:val="20"/>
                <w:szCs w:val="20"/>
              </w:rPr>
              <w:t xml:space="preserve">Domain credibility</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color w:val="B91C1C"/>
                <w:sz w:val="20"/>
                <w:szCs w:val="20"/>
              </w:rPr>
              <w:t xml:space="preserve">Partial</w:t>
            </w:r>
          </w:p>
        </w:tc>
        <w:tc>
          <w:tcPr>
            <w:tcW w:type="dxa" w:w="3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sz w:val="20"/>
                <w:szCs w:val="20"/>
              </w:rPr>
              <w:t xml:space="preserve">Strong on geography and risk; missing the compliance / TSM / damp-mould backbone of a real housing system.</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Wow factor</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color w:val="B7791F"/>
                <w:sz w:val="20"/>
                <w:szCs w:val="20"/>
              </w:rPr>
              <w:t xml:space="preserve">Latent</w:t>
            </w:r>
          </w:p>
        </w:tc>
        <w:tc>
          <w:tcPr>
            <w:tcW w:type="dxa" w:w="3626"/>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sz w:val="20"/>
                <w:szCs w:val="20"/>
              </w:rPr>
              <w:t xml:space="preserve">You have the ingredients (3D viewer, EA layers, Strategic Insights). Need 1–2 hero features that pop.</w:t>
            </w:r>
          </w:p>
        </w:tc>
      </w:tr>
    </w:tbl>
    <w:p>
      <w:pPr>
        <w:pStyle w:val="Heading1"/>
        <w:spacing w:after="160" w:before="360"/>
      </w:pPr>
      <w:r>
        <w:rPr>
          <w:rFonts w:ascii="Calibri" w:cs="Calibri" w:eastAsia="Calibri" w:hAnsi="Calibri"/>
          <w:b/>
          <w:bCs/>
          <w:color w:val="1B4F72"/>
          <w:sz w:val="32"/>
          <w:szCs w:val="32"/>
        </w:rPr>
        <w:t xml:space="preserve">2. What you have built well</w:t>
      </w:r>
    </w:p>
    <w:p>
      <w:pPr>
        <w:spacing w:after="100" w:line="300"/>
      </w:pPr>
      <w:r>
        <w:rPr>
          <w:rFonts w:ascii="Calibri" w:cs="Calibri" w:eastAsia="Calibri" w:hAnsi="Calibri"/>
          <w:sz w:val="22"/>
          <w:szCs w:val="22"/>
        </w:rPr>
        <w:t xml:space="preserve">Where the project is genuinely strong, in rough order of how impressed a senior reviewer would be:</w:t>
      </w:r>
    </w:p>
    <w:p>
      <w:pPr>
        <w:pStyle w:val="ListParagraph"/>
        <w:numPr>
          <w:ilvl w:val="0"/>
          <w:numId w:val="2"/>
        </w:numPr>
        <w:spacing w:after="60" w:line="280"/>
      </w:pPr>
      <w:r>
        <w:rPr>
          <w:rFonts w:ascii="Calibri" w:cs="Calibri" w:eastAsia="Calibri" w:hAnsi="Calibri"/>
          <w:b/>
          <w:bCs/>
          <w:sz w:val="22"/>
          <w:szCs w:val="22"/>
        </w:rPr>
        <w:t xml:space="preserve">Strategic Insights engine is the strongest single piece. </w:t>
      </w:r>
      <w:r>
        <w:rPr>
          <w:rFonts w:ascii="Calibri" w:cs="Calibri" w:eastAsia="Calibri" w:hAnsi="Calibri"/>
          <w:sz w:val="22"/>
          <w:szCs w:val="22"/>
        </w:rPr>
        <w:t xml:space="preserve">Cross-correlating IoD 2025, EA flood, Census, broadband and Excel operational data into ten ranked cards, each wrapped in its own try/except so a single query failure does not collapse the page, is exactly the right pattern for this kind of analytics surface. The severity ranking and recommended-action wording are the things that make it feel product-grade rather than dashboard-flavoured.</w:t>
      </w:r>
    </w:p>
    <w:p>
      <w:pPr>
        <w:pStyle w:val="ListParagraph"/>
        <w:numPr>
          <w:ilvl w:val="0"/>
          <w:numId w:val="2"/>
        </w:numPr>
        <w:spacing w:after="60" w:line="280"/>
      </w:pPr>
      <w:r>
        <w:rPr>
          <w:rFonts w:ascii="Calibri" w:cs="Calibri" w:eastAsia="Calibri" w:hAnsi="Calibri"/>
          <w:b/>
          <w:bCs/>
          <w:sz w:val="22"/>
          <w:szCs w:val="22"/>
        </w:rPr>
        <w:t xml:space="preserve">Enrichment pipeline is genuinely useful. </w:t>
      </w:r>
      <w:r>
        <w:rPr>
          <w:rFonts w:ascii="Calibri" w:cs="Calibri" w:eastAsia="Calibri" w:hAnsi="Calibri"/>
          <w:sz w:val="22"/>
          <w:szCs w:val="22"/>
        </w:rPr>
        <w:t xml:space="preserve">Ten providers (postcodes.io, IoD 2025, Census 2021, Ofcom, UK Police, EA flood, EPC register, OS Open UPRN, Open-Meteo, plus the master orchestrator) with idempotent NULL-aware re-runs and a --force flag for re-enrichment. The dependency chain (postcodes → IoD → Census) is correctly enforced. The shell wrapper enrich_data.sh makes this operable without remembering script order.</w:t>
      </w:r>
    </w:p>
    <w:p>
      <w:pPr>
        <w:pStyle w:val="ListParagraph"/>
        <w:numPr>
          <w:ilvl w:val="0"/>
          <w:numId w:val="2"/>
        </w:numPr>
        <w:spacing w:after="60" w:line="280"/>
      </w:pPr>
      <w:r>
        <w:rPr>
          <w:rFonts w:ascii="Calibri" w:cs="Calibri" w:eastAsia="Calibri" w:hAnsi="Calibri"/>
          <w:b/>
          <w:bCs/>
          <w:sz w:val="22"/>
          <w:szCs w:val="22"/>
        </w:rPr>
        <w:t xml:space="preserve">Component lifecycle data model is real social-housing thinking. </w:t>
      </w:r>
      <w:r>
        <w:rPr>
          <w:rFonts w:ascii="Calibri" w:cs="Calibri" w:eastAsia="Calibri" w:hAnsi="Calibri"/>
          <w:sz w:val="22"/>
          <w:szCs w:val="22"/>
        </w:rPr>
        <w:t xml:space="preserve">component_types, property_components with condition_score (1–5), remaining_life_years, predicted_failure_date, and a replacement_cost_low/mid/high tiering on the cost model — this matches how housing asset managers actually plan. The Migration 006 design is one of the better things in the repo.</w:t>
      </w:r>
    </w:p>
    <w:p>
      <w:pPr>
        <w:pStyle w:val="ListParagraph"/>
        <w:numPr>
          <w:ilvl w:val="0"/>
          <w:numId w:val="2"/>
        </w:numPr>
        <w:spacing w:after="60" w:line="280"/>
      </w:pPr>
      <w:r>
        <w:rPr>
          <w:rFonts w:ascii="Calibri" w:cs="Calibri" w:eastAsia="Calibri" w:hAnsi="Calibri"/>
          <w:b/>
          <w:bCs/>
          <w:sz w:val="22"/>
          <w:szCs w:val="22"/>
        </w:rPr>
        <w:t xml:space="preserve">3D viewer pulls real OpenStreetMap footprints. </w:t>
      </w:r>
      <w:r>
        <w:rPr>
          <w:rFonts w:ascii="Calibri" w:cs="Calibri" w:eastAsia="Calibri" w:hAnsi="Calibri"/>
          <w:sz w:val="22"/>
          <w:szCs w:val="22"/>
        </w:rPr>
        <w:t xml:space="preserve">Most "digital twin" demos use parametric boxes; you fetch actual Overpass-API building outlines and extrude them, falling back to the parametric model only when no OSM data exists. That is a meaningful step up.</w:t>
      </w:r>
    </w:p>
    <w:p>
      <w:pPr>
        <w:pStyle w:val="ListParagraph"/>
        <w:numPr>
          <w:ilvl w:val="0"/>
          <w:numId w:val="2"/>
        </w:numPr>
        <w:spacing w:after="60" w:line="280"/>
      </w:pPr>
      <w:r>
        <w:rPr>
          <w:rFonts w:ascii="Calibri" w:cs="Calibri" w:eastAsia="Calibri" w:hAnsi="Calibri"/>
          <w:b/>
          <w:bCs/>
          <w:sz w:val="22"/>
          <w:szCs w:val="22"/>
        </w:rPr>
        <w:t xml:space="preserve">PostGIS done correctly. </w:t>
      </w:r>
      <w:r>
        <w:rPr>
          <w:rFonts w:ascii="Calibri" w:cs="Calibri" w:eastAsia="Calibri" w:hAnsi="Calibri"/>
          <w:sz w:val="22"/>
          <w:szCs w:val="22"/>
        </w:rPr>
        <w:t xml:space="preserve">Geometry as Point with SRID 4326, spatial indexes, bbox queries — this is the right foundation, not just lat/lon stored as floats.</w:t>
      </w:r>
    </w:p>
    <w:p>
      <w:pPr>
        <w:pStyle w:val="ListParagraph"/>
        <w:numPr>
          <w:ilvl w:val="0"/>
          <w:numId w:val="2"/>
        </w:numPr>
        <w:spacing w:after="60" w:line="280"/>
      </w:pPr>
      <w:r>
        <w:rPr>
          <w:rFonts w:ascii="Calibri" w:cs="Calibri" w:eastAsia="Calibri" w:hAnsi="Calibri"/>
          <w:b/>
          <w:bCs/>
          <w:sz w:val="22"/>
          <w:szCs w:val="22"/>
        </w:rPr>
        <w:t xml:space="preserve">Multi-tenant scaffolding is in place. </w:t>
      </w:r>
      <w:r>
        <w:rPr>
          <w:rFonts w:ascii="Calibri" w:cs="Calibri" w:eastAsia="Calibri" w:hAnsi="Calibri"/>
          <w:sz w:val="22"/>
          <w:szCs w:val="22"/>
        </w:rPr>
        <w:t xml:space="preserve">organisations, users, audit_log, role-aware components (RoleGate, ProtectedRoute) and a notifications subsystem suggest you have thought past single-org. Most prototypes ignore this entirely.</w:t>
      </w:r>
    </w:p>
    <w:p>
      <w:pPr>
        <w:pStyle w:val="ListParagraph"/>
        <w:numPr>
          <w:ilvl w:val="0"/>
          <w:numId w:val="2"/>
        </w:numPr>
        <w:spacing w:after="60" w:line="280"/>
      </w:pPr>
      <w:r>
        <w:rPr>
          <w:rFonts w:ascii="Calibri" w:cs="Calibri" w:eastAsia="Calibri" w:hAnsi="Calibri"/>
          <w:b/>
          <w:bCs/>
          <w:sz w:val="22"/>
          <w:szCs w:val="22"/>
        </w:rPr>
        <w:t xml:space="preserve">Pragmatism on the SSL/Tailwind issues. </w:t>
      </w:r>
      <w:r>
        <w:rPr>
          <w:rFonts w:ascii="Calibri" w:cs="Calibri" w:eastAsia="Calibri" w:hAnsi="Calibri"/>
          <w:sz w:val="22"/>
          <w:szCs w:val="22"/>
        </w:rPr>
        <w:t xml:space="preserve">Switching to subprocess+curl when LibreSSL was breaking requests, and falling back to inline styles when Tailwind v4 was unstable, are the right calls in the moment. Both deserve to be unwound (see Gaps), but as in-flight decisions they were correct.</w:t>
      </w:r>
    </w:p>
    <w:p>
      <w:pPr>
        <w:pStyle w:val="ListParagraph"/>
        <w:numPr>
          <w:ilvl w:val="0"/>
          <w:numId w:val="2"/>
        </w:numPr>
        <w:spacing w:after="60" w:line="280"/>
      </w:pPr>
      <w:r>
        <w:rPr>
          <w:rFonts w:ascii="Calibri" w:cs="Calibri" w:eastAsia="Calibri" w:hAnsi="Calibri"/>
          <w:b/>
          <w:bCs/>
          <w:sz w:val="22"/>
          <w:szCs w:val="22"/>
        </w:rPr>
        <w:t xml:space="preserve">Documentation discipline is unusually good. </w:t>
      </w:r>
      <w:r>
        <w:rPr>
          <w:rFonts w:ascii="Calibri" w:cs="Calibri" w:eastAsia="Calibri" w:hAnsi="Calibri"/>
          <w:sz w:val="22"/>
          <w:szCs w:val="22"/>
        </w:rPr>
        <w:t xml:space="preserve">PROJECT_STATUS, AUTHENTICATION_SYSTEM_SUMMARY, INTEGRATION_CHECKLIST, IMPLEMENTATION_GUIDE and the transition document together form a much better paper trail than most personal projects ever produce. This will compound in your favour over time.</w:t>
      </w:r>
    </w:p>
    <w:p>
      <w:pPr>
        <w:pStyle w:val="Heading1"/>
        <w:spacing w:after="160" w:before="360"/>
      </w:pPr>
      <w:r>
        <w:rPr>
          <w:rFonts w:ascii="Calibri" w:cs="Calibri" w:eastAsia="Calibri" w:hAnsi="Calibri"/>
          <w:b/>
          <w:bCs/>
          <w:color w:val="1B4F72"/>
          <w:sz w:val="32"/>
          <w:szCs w:val="32"/>
        </w:rPr>
        <w:t xml:space="preserve">3. Gaps in the current build</w:t>
      </w:r>
    </w:p>
    <w:p>
      <w:pPr>
        <w:spacing w:after="100" w:line="300"/>
      </w:pPr>
      <w:r>
        <w:rPr>
          <w:rFonts w:ascii="Calibri" w:cs="Calibri" w:eastAsia="Calibri" w:hAnsi="Calibri"/>
          <w:sz w:val="22"/>
          <w:szCs w:val="22"/>
        </w:rPr>
        <w:t xml:space="preserve">Three categories. Each is recoverable; none change the project’s direction.</w:t>
      </w:r>
    </w:p>
    <w:p>
      <w:pPr>
        <w:pStyle w:val="Heading2"/>
        <w:spacing w:after="120" w:before="260"/>
      </w:pPr>
      <w:r>
        <w:rPr>
          <w:rFonts w:ascii="Calibri" w:cs="Calibri" w:eastAsia="Calibri" w:hAnsi="Calibri"/>
          <w:b/>
          <w:bCs/>
          <w:color w:val="2874A6"/>
          <w:sz w:val="26"/>
          <w:szCs w:val="26"/>
        </w:rPr>
        <w:t xml:space="preserve">3.1  Code &amp; architecture</w:t>
      </w:r>
    </w:p>
    <w:p>
      <w:pPr>
        <w:pStyle w:val="ListParagraph"/>
        <w:numPr>
          <w:ilvl w:val="0"/>
          <w:numId w:val="2"/>
        </w:numPr>
        <w:spacing w:after="60" w:line="280"/>
      </w:pPr>
      <w:r>
        <w:rPr>
          <w:rFonts w:ascii="Calibri" w:cs="Calibri" w:eastAsia="Calibri" w:hAnsi="Calibri"/>
          <w:b/>
          <w:bCs/>
          <w:sz w:val="22"/>
          <w:szCs w:val="22"/>
        </w:rPr>
        <w:t xml:space="preserve">App.tsx is a 4,100-line monolith. </w:t>
      </w:r>
      <w:r>
        <w:rPr>
          <w:rFonts w:ascii="Calibri" w:cs="Calibri" w:eastAsia="Calibri" w:hAnsi="Calibri"/>
          <w:sz w:val="22"/>
          <w:szCs w:val="22"/>
        </w:rPr>
        <w:t xml:space="preserve">It contains the Insights page (8 tabs), the About page and the Strategic Insights renderer. Anyone reviewing this will see it immediately. Split each tab into its own file under src/pages/insights/* and reduce App.tsx to routing + layout.</w:t>
      </w:r>
    </w:p>
    <w:p>
      <w:pPr>
        <w:pStyle w:val="ListParagraph"/>
        <w:numPr>
          <w:ilvl w:val="0"/>
          <w:numId w:val="2"/>
        </w:numPr>
        <w:spacing w:after="60" w:line="280"/>
      </w:pPr>
      <w:r>
        <w:rPr>
          <w:rFonts w:ascii="Calibri" w:cs="Calibri" w:eastAsia="Calibri" w:hAnsi="Calibri"/>
          <w:b/>
          <w:bCs/>
          <w:sz w:val="22"/>
          <w:szCs w:val="22"/>
        </w:rPr>
        <w:t xml:space="preserve">analytics_service.py is 1,603 lines. </w:t>
      </w:r>
      <w:r>
        <w:rPr>
          <w:rFonts w:ascii="Calibri" w:cs="Calibri" w:eastAsia="Calibri" w:hAnsi="Calibri"/>
          <w:sz w:val="22"/>
          <w:szCs w:val="22"/>
        </w:rPr>
        <w:t xml:space="preserve">get_strategic_insights alone is ~500 lines (lines 1093–1601). Break it into one file per insight under services/insights/, with a small registry that the router iterates. You will get the same behaviour with much better testability.</w:t>
      </w:r>
    </w:p>
    <w:p>
      <w:pPr>
        <w:pStyle w:val="ListParagraph"/>
        <w:numPr>
          <w:ilvl w:val="0"/>
          <w:numId w:val="2"/>
        </w:numPr>
        <w:spacing w:after="60" w:line="280"/>
      </w:pPr>
      <w:r>
        <w:rPr>
          <w:rFonts w:ascii="Calibri" w:cs="Calibri" w:eastAsia="Calibri" w:hAnsi="Calibri"/>
          <w:b/>
          <w:bCs/>
          <w:sz w:val="22"/>
          <w:szCs w:val="22"/>
        </w:rPr>
        <w:t xml:space="preserve">No automated tests exist. </w:t>
      </w:r>
      <w:r>
        <w:rPr>
          <w:rFonts w:ascii="Calibri" w:cs="Calibri" w:eastAsia="Calibri" w:hAnsi="Calibri"/>
          <w:sz w:val="22"/>
          <w:szCs w:val="22"/>
        </w:rPr>
        <w:t xml:space="preserve">Outside library packages there are zero test files. For this size of codebase even a thin pytest suite covering the analytics queries (against a fixture DB) and a couple of Vitest snapshot tests would dramatically lift confidence and is realistic to add in a day.</w:t>
      </w:r>
    </w:p>
    <w:p>
      <w:pPr>
        <w:pStyle w:val="ListParagraph"/>
        <w:numPr>
          <w:ilvl w:val="0"/>
          <w:numId w:val="2"/>
        </w:numPr>
        <w:spacing w:after="60" w:line="280"/>
      </w:pPr>
      <w:r>
        <w:rPr>
          <w:rFonts w:ascii="Calibri" w:cs="Calibri" w:eastAsia="Calibri" w:hAnsi="Calibri"/>
          <w:b/>
          <w:bCs/>
          <w:sz w:val="22"/>
          <w:szCs w:val="22"/>
        </w:rPr>
        <w:t xml:space="preserve">enrichment monitor.py imports from `app.models` which does not exist. </w:t>
      </w:r>
      <w:r>
        <w:rPr>
          <w:rFonts w:ascii="Calibri" w:cs="Calibri" w:eastAsia="Calibri" w:hAnsi="Calibri"/>
          <w:sz w:val="22"/>
          <w:szCs w:val="22"/>
        </w:rPr>
        <w:t xml:space="preserve">That module would crash on import. Either delete it or replace the imports with the real SQLAlchemy/text() pattern used elsewhere.</w:t>
      </w:r>
    </w:p>
    <w:p>
      <w:pPr>
        <w:pStyle w:val="ListParagraph"/>
        <w:numPr>
          <w:ilvl w:val="0"/>
          <w:numId w:val="2"/>
        </w:numPr>
        <w:spacing w:after="60" w:line="280"/>
      </w:pPr>
      <w:r>
        <w:rPr>
          <w:rFonts w:ascii="Calibri" w:cs="Calibri" w:eastAsia="Calibri" w:hAnsi="Calibri"/>
          <w:b/>
          <w:bCs/>
          <w:sz w:val="22"/>
          <w:szCs w:val="22"/>
        </w:rPr>
        <w:t xml:space="preserve">Migration files include a duplicate. </w:t>
      </w:r>
      <w:r>
        <w:rPr>
          <w:rFonts w:ascii="Calibri" w:cs="Calibri" w:eastAsia="Calibri" w:hAnsi="Calibri"/>
          <w:sz w:val="22"/>
          <w:szCs w:val="22"/>
        </w:rPr>
        <w:t xml:space="preserve">database/migrations contains both 004_enrichment.sql and 004_enrichment_fixed.sql. Pick one, archive the other, and consider a migration runner (Alembic) rather than init.sql + raw .sql files.</w:t>
      </w:r>
    </w:p>
    <w:p>
      <w:pPr>
        <w:pStyle w:val="ListParagraph"/>
        <w:numPr>
          <w:ilvl w:val="0"/>
          <w:numId w:val="2"/>
        </w:numPr>
        <w:spacing w:after="60" w:line="280"/>
      </w:pPr>
      <w:r>
        <w:rPr>
          <w:rFonts w:ascii="Calibri" w:cs="Calibri" w:eastAsia="Calibri" w:hAnsi="Calibri"/>
          <w:b/>
          <w:bCs/>
          <w:sz w:val="22"/>
          <w:szCs w:val="22"/>
        </w:rPr>
        <w:t xml:space="preserve">Scenarios feature is half-removed. </w:t>
      </w:r>
      <w:r>
        <w:rPr>
          <w:rFonts w:ascii="Calibri" w:cs="Calibri" w:eastAsia="Calibri" w:hAnsi="Calibri"/>
          <w:sz w:val="22"/>
          <w:szCs w:val="22"/>
        </w:rPr>
        <w:t xml:space="preserve">The transition document says "Removed Scenarios tab from nav, added Strategic Insights as default tab" but server/routers/scenarios.py and client/src/pages/ScenarioPlanner.tsx (916 lines) are still present. Either re-introduce Scenarios deliberately, or remove the dead code.</w:t>
      </w:r>
    </w:p>
    <w:p>
      <w:pPr>
        <w:pStyle w:val="ListParagraph"/>
        <w:numPr>
          <w:ilvl w:val="0"/>
          <w:numId w:val="2"/>
        </w:numPr>
        <w:spacing w:after="60" w:line="280"/>
      </w:pPr>
      <w:r>
        <w:rPr>
          <w:rFonts w:ascii="Calibri" w:cs="Calibri" w:eastAsia="Calibri" w:hAnsi="Calibri"/>
          <w:b/>
          <w:bCs/>
          <w:sz w:val="22"/>
          <w:szCs w:val="22"/>
        </w:rPr>
        <w:t xml:space="preserve">subprocess+curl is a brittle SSL workaround. </w:t>
      </w:r>
      <w:r>
        <w:rPr>
          <w:rFonts w:ascii="Calibri" w:cs="Calibri" w:eastAsia="Calibri" w:hAnsi="Calibri"/>
          <w:sz w:val="22"/>
          <w:szCs w:val="22"/>
        </w:rPr>
        <w:t xml:space="preserve">It is the right hot-fix but not a permanent home. Move to httpx or aiohttp with certifi-supplied CA bundle, or upgrade to a Python build that uses OpenSSL rather than LibreSSL. This will also let you parallelise enrichment calls properly.</w:t>
      </w:r>
    </w:p>
    <w:p>
      <w:pPr>
        <w:pStyle w:val="ListParagraph"/>
        <w:numPr>
          <w:ilvl w:val="0"/>
          <w:numId w:val="2"/>
        </w:numPr>
        <w:spacing w:after="60" w:line="280"/>
      </w:pPr>
      <w:r>
        <w:rPr>
          <w:rFonts w:ascii="Calibri" w:cs="Calibri" w:eastAsia="Calibri" w:hAnsi="Calibri"/>
          <w:b/>
          <w:bCs/>
          <w:sz w:val="22"/>
          <w:szCs w:val="22"/>
        </w:rPr>
        <w:t xml:space="preserve">No CI, no health checks, no observability. </w:t>
      </w:r>
      <w:r>
        <w:rPr>
          <w:rFonts w:ascii="Calibri" w:cs="Calibri" w:eastAsia="Calibri" w:hAnsi="Calibri"/>
          <w:sz w:val="22"/>
          <w:szCs w:val="22"/>
        </w:rPr>
        <w:t xml:space="preserve">A GitHub Actions workflow that lints, type-checks (mypy / tsc) and runs the test suite would be 60 lines of YAML and a real signal of professionalism. /healthz and /readyz endpoints, plus a lightweight Prometheus exporter or even structured JSON logs to file, would be a few hours of work.</w:t>
      </w:r>
    </w:p>
    <w:p>
      <w:pPr>
        <w:pStyle w:val="ListParagraph"/>
        <w:numPr>
          <w:ilvl w:val="0"/>
          <w:numId w:val="2"/>
        </w:numPr>
        <w:spacing w:after="60" w:line="280"/>
      </w:pPr>
      <w:r>
        <w:rPr>
          <w:rFonts w:ascii="Calibri" w:cs="Calibri" w:eastAsia="Calibri" w:hAnsi="Calibri"/>
          <w:b/>
          <w:bCs/>
          <w:sz w:val="22"/>
          <w:szCs w:val="22"/>
        </w:rPr>
        <w:t xml:space="preserve">No GDPR/data-protection posture. </w:t>
      </w:r>
      <w:r>
        <w:rPr>
          <w:rFonts w:ascii="Calibri" w:cs="Calibri" w:eastAsia="Calibri" w:hAnsi="Calibri"/>
          <w:sz w:val="22"/>
          <w:szCs w:val="22"/>
        </w:rPr>
        <w:t xml:space="preserve">Property and tenant data in the UK is sensitive. Even in a portfolio context, sketching: role-based field redaction, audit-log retention rules, an export-for-SAR endpoint, and a "what data we hold per UPRN" page would be a strong differentiator.</w:t>
      </w:r>
    </w:p>
    <w:p>
      <w:pPr>
        <w:pStyle w:val="Heading2"/>
        <w:spacing w:after="120" w:before="260"/>
      </w:pPr>
      <w:r>
        <w:rPr>
          <w:rFonts w:ascii="Calibri" w:cs="Calibri" w:eastAsia="Calibri" w:hAnsi="Calibri"/>
          <w:b/>
          <w:bCs/>
          <w:color w:val="2874A6"/>
          <w:sz w:val="26"/>
          <w:szCs w:val="26"/>
        </w:rPr>
        <w:t xml:space="preserve">3.2  Data</w:t>
      </w:r>
    </w:p>
    <w:p>
      <w:pPr>
        <w:pStyle w:val="ListParagraph"/>
        <w:numPr>
          <w:ilvl w:val="0"/>
          <w:numId w:val="2"/>
        </w:numPr>
        <w:spacing w:after="60" w:line="280"/>
      </w:pPr>
      <w:r>
        <w:rPr>
          <w:rFonts w:ascii="Calibri" w:cs="Calibri" w:eastAsia="Calibri" w:hAnsi="Calibri"/>
          <w:b/>
          <w:bCs/>
          <w:sz w:val="22"/>
          <w:szCs w:val="22"/>
        </w:rPr>
        <w:t xml:space="preserve">EPC register integration is the biggest single data gap. </w:t>
      </w:r>
      <w:r>
        <w:rPr>
          <w:rFonts w:ascii="Calibri" w:cs="Calibri" w:eastAsia="Calibri" w:hAnsi="Calibri"/>
          <w:sz w:val="22"/>
          <w:szCs w:val="22"/>
        </w:rPr>
        <w:t xml:space="preserve">Energy ratings underpin retrofit planning and most insights are partially blind without it. Registration at opendatacommunities.org is free; the call signature is documented and your enrich_epc.py is already structured to accept it.</w:t>
      </w:r>
    </w:p>
    <w:p>
      <w:pPr>
        <w:pStyle w:val="ListParagraph"/>
        <w:numPr>
          <w:ilvl w:val="0"/>
          <w:numId w:val="2"/>
        </w:numPr>
        <w:spacing w:after="60" w:line="280"/>
      </w:pPr>
      <w:r>
        <w:rPr>
          <w:rFonts w:ascii="Calibri" w:cs="Calibri" w:eastAsia="Calibri" w:hAnsi="Calibri"/>
          <w:b/>
          <w:bCs/>
          <w:sz w:val="22"/>
          <w:szCs w:val="22"/>
        </w:rPr>
        <w:t xml:space="preserve">Census is synthetic. </w:t>
      </w:r>
      <w:r>
        <w:rPr>
          <w:rFonts w:ascii="Calibri" w:cs="Calibri" w:eastAsia="Calibri" w:hAnsi="Calibri"/>
          <w:sz w:val="22"/>
          <w:szCs w:val="22"/>
        </w:rPr>
        <w:t xml:space="preserve">Generated from IMD-decile correlations rather than real ONS LSOA data. This is a defensible pragmatic choice but it should be visibly labelled in the UI ("Synthetic — derived from IMD 2025 decile correlations") wherever a Census number appears, and replaced with the real Nomis LSOA-level Census 2021 download as a follow-up. ONS publishes LSOA tables (TS0xx) as bulk CSV; the trade-off is download size, not accessibility.</w:t>
      </w:r>
    </w:p>
    <w:p>
      <w:pPr>
        <w:pStyle w:val="ListParagraph"/>
        <w:numPr>
          <w:ilvl w:val="0"/>
          <w:numId w:val="2"/>
        </w:numPr>
        <w:spacing w:after="60" w:line="280"/>
      </w:pPr>
      <w:r>
        <w:rPr>
          <w:rFonts w:ascii="Calibri" w:cs="Calibri" w:eastAsia="Calibri" w:hAnsi="Calibri"/>
          <w:b/>
          <w:bCs/>
          <w:sz w:val="22"/>
          <w:szCs w:val="22"/>
        </w:rPr>
        <w:t xml:space="preserve">Crime enrichment is thin. </w:t>
      </w:r>
      <w:r>
        <w:rPr>
          <w:rFonts w:ascii="Calibri" w:cs="Calibri" w:eastAsia="Calibri" w:hAnsi="Calibri"/>
          <w:sz w:val="22"/>
          <w:szCs w:val="22"/>
        </w:rPr>
        <w:t xml:space="preserve">Max score 10, many nulls. The Police API has a known limitation: it returns only what was filed in the LSOA-bound month. A simple fix is rolling six- or twelve-month aggregations, plus a fallback to data.police.uk monthly bulk archives where the live API returns nothing.</w:t>
      </w:r>
    </w:p>
    <w:p>
      <w:pPr>
        <w:pStyle w:val="ListParagraph"/>
        <w:numPr>
          <w:ilvl w:val="0"/>
          <w:numId w:val="2"/>
        </w:numPr>
        <w:spacing w:after="60" w:line="280"/>
      </w:pPr>
      <w:r>
        <w:rPr>
          <w:rFonts w:ascii="Calibri" w:cs="Calibri" w:eastAsia="Calibri" w:hAnsi="Calibri"/>
          <w:b/>
          <w:bCs/>
          <w:sz w:val="22"/>
          <w:szCs w:val="22"/>
        </w:rPr>
        <w:t xml:space="preserve">Year built, heating type, stock condition and construction type are all NULL. </w:t>
      </w:r>
      <w:r>
        <w:rPr>
          <w:rFonts w:ascii="Calibri" w:cs="Calibri" w:eastAsia="Calibri" w:hAnsi="Calibri"/>
          <w:sz w:val="22"/>
          <w:szCs w:val="22"/>
        </w:rPr>
        <w:t xml:space="preserve">These power most of the retrofit logic. You can derive defensible defaults from postcode + property type + age band proxies (Census dwelling-age bands, EPC register age band where available) — but be explicit about which fields are observed vs. inferred.</w:t>
      </w:r>
    </w:p>
    <w:p>
      <w:pPr>
        <w:pStyle w:val="ListParagraph"/>
        <w:numPr>
          <w:ilvl w:val="0"/>
          <w:numId w:val="2"/>
        </w:numPr>
        <w:spacing w:after="60" w:line="280"/>
      </w:pPr>
      <w:r>
        <w:rPr>
          <w:rFonts w:ascii="Calibri" w:cs="Calibri" w:eastAsia="Calibri" w:hAnsi="Calibri"/>
          <w:b/>
          <w:bCs/>
          <w:sz w:val="22"/>
          <w:szCs w:val="22"/>
        </w:rPr>
        <w:t xml:space="preserve">Address matching at 85.6% is acceptable but worth pushing further. </w:t>
      </w:r>
      <w:r>
        <w:rPr>
          <w:rFonts w:ascii="Calibri" w:cs="Calibri" w:eastAsia="Calibri" w:hAnsi="Calibri"/>
          <w:sz w:val="22"/>
          <w:szCs w:val="22"/>
        </w:rPr>
        <w:t xml:space="preserve">Switching from "first comma split" to UPRN-resolved AddressBase or even fuzzy matching with the OS Open UPRN dataset you already cache would meaningfully improve the repairs-to-property linkage.</w:t>
      </w:r>
    </w:p>
    <w:p>
      <w:pPr>
        <w:pStyle w:val="Heading2"/>
        <w:spacing w:after="120" w:before="260"/>
      </w:pPr>
      <w:r>
        <w:rPr>
          <w:rFonts w:ascii="Calibri" w:cs="Calibri" w:eastAsia="Calibri" w:hAnsi="Calibri"/>
          <w:b/>
          <w:bCs/>
          <w:color w:val="2874A6"/>
          <w:sz w:val="26"/>
          <w:szCs w:val="26"/>
        </w:rPr>
        <w:t xml:space="preserve">3.3  Product / domain</w:t>
      </w:r>
    </w:p>
    <w:p>
      <w:pPr>
        <w:pStyle w:val="ListParagraph"/>
        <w:numPr>
          <w:ilvl w:val="0"/>
          <w:numId w:val="2"/>
        </w:numPr>
        <w:spacing w:after="60" w:line="280"/>
      </w:pPr>
      <w:r>
        <w:rPr>
          <w:rFonts w:ascii="Calibri" w:cs="Calibri" w:eastAsia="Calibri" w:hAnsi="Calibri"/>
          <w:b/>
          <w:bCs/>
          <w:sz w:val="22"/>
          <w:szCs w:val="22"/>
        </w:rPr>
        <w:t xml:space="preserve">No statutory compliance regime. </w:t>
      </w:r>
      <w:r>
        <w:rPr>
          <w:rFonts w:ascii="Calibri" w:cs="Calibri" w:eastAsia="Calibri" w:hAnsi="Calibri"/>
          <w:sz w:val="22"/>
          <w:szCs w:val="22"/>
        </w:rPr>
        <w:t xml:space="preserve">A real social-housing system is judged primarily on this: gas safety (CP12), electrical (EICR five-yearly), Fire Risk Assessments (FRA), asbestos register, water hygiene/Legionella, lift LOLER. None of this is in SHDT. A simple compliance dashboard with synthetic due-dates would massively raise domain credibility.</w:t>
      </w:r>
    </w:p>
    <w:p>
      <w:pPr>
        <w:pStyle w:val="ListParagraph"/>
        <w:numPr>
          <w:ilvl w:val="0"/>
          <w:numId w:val="2"/>
        </w:numPr>
        <w:spacing w:after="60" w:line="280"/>
      </w:pPr>
      <w:r>
        <w:rPr>
          <w:rFonts w:ascii="Calibri" w:cs="Calibri" w:eastAsia="Calibri" w:hAnsi="Calibri"/>
          <w:b/>
          <w:bCs/>
          <w:sz w:val="22"/>
          <w:szCs w:val="22"/>
        </w:rPr>
        <w:t xml:space="preserve">No Tenant Satisfaction Measures (TSMs). </w:t>
      </w:r>
      <w:r>
        <w:rPr>
          <w:rFonts w:ascii="Calibri" w:cs="Calibri" w:eastAsia="Calibri" w:hAnsi="Calibri"/>
          <w:sz w:val="22"/>
          <w:szCs w:val="22"/>
        </w:rPr>
        <w:t xml:space="preserve">Mandatory for English social landlords since April 2024 — 22 measures the regulator collects annually. Implementing a TSM dashboard with the regulator’s exact codes (TP01 satisfaction, TP02 repairs, RP01 decent homes, etc.) would be a one-day build that any sector reviewer would notice immediately.</w:t>
      </w:r>
    </w:p>
    <w:p>
      <w:pPr>
        <w:pStyle w:val="ListParagraph"/>
        <w:numPr>
          <w:ilvl w:val="0"/>
          <w:numId w:val="2"/>
        </w:numPr>
        <w:spacing w:after="60" w:line="280"/>
      </w:pPr>
      <w:r>
        <w:rPr>
          <w:rFonts w:ascii="Calibri" w:cs="Calibri" w:eastAsia="Calibri" w:hAnsi="Calibri"/>
          <w:b/>
          <w:bCs/>
          <w:sz w:val="22"/>
          <w:szCs w:val="22"/>
        </w:rPr>
        <w:t xml:space="preserve">No damp-and-mould workflow. </w:t>
      </w:r>
      <w:r>
        <w:rPr>
          <w:rFonts w:ascii="Calibri" w:cs="Calibri" w:eastAsia="Calibri" w:hAnsi="Calibri"/>
          <w:sz w:val="22"/>
          <w:szCs w:val="22"/>
        </w:rPr>
        <w:t xml:space="preserve">Post-Awaab Ishak inquest (Jan 2024) and the Awaab’s Law deadlines, this is the dominant operational topic in the sector. You have most of the inputs (EPC, overcrowding, complaint text, age, heating type) — modelling damp-and-mould risk is the single highest-impact thing you could ship.</w:t>
      </w:r>
    </w:p>
    <w:p>
      <w:pPr>
        <w:pStyle w:val="ListParagraph"/>
        <w:numPr>
          <w:ilvl w:val="0"/>
          <w:numId w:val="2"/>
        </w:numPr>
        <w:spacing w:after="60" w:line="280"/>
      </w:pPr>
      <w:r>
        <w:rPr>
          <w:rFonts w:ascii="Calibri" w:cs="Calibri" w:eastAsia="Calibri" w:hAnsi="Calibri"/>
          <w:b/>
          <w:bCs/>
          <w:sz w:val="22"/>
          <w:szCs w:val="22"/>
        </w:rPr>
        <w:t xml:space="preserve">No stock-condition survey workflow. </w:t>
      </w:r>
      <w:r>
        <w:rPr>
          <w:rFonts w:ascii="Calibri" w:cs="Calibri" w:eastAsia="Calibri" w:hAnsi="Calibri"/>
          <w:sz w:val="22"/>
          <w:szCs w:val="22"/>
        </w:rPr>
        <w:t xml:space="preserve">Surveys feed the component lifecycle model, but there is no UI for surveyors. A mobile-friendly inspection form (offline-capable would be a wow factor) that writes to property_components is a natural next step.</w:t>
      </w:r>
    </w:p>
    <w:p>
      <w:pPr>
        <w:pStyle w:val="ListParagraph"/>
        <w:numPr>
          <w:ilvl w:val="0"/>
          <w:numId w:val="2"/>
        </w:numPr>
        <w:spacing w:after="60" w:line="280"/>
      </w:pPr>
      <w:r>
        <w:rPr>
          <w:rFonts w:ascii="Calibri" w:cs="Calibri" w:eastAsia="Calibri" w:hAnsi="Calibri"/>
          <w:b/>
          <w:bCs/>
          <w:sz w:val="22"/>
          <w:szCs w:val="22"/>
        </w:rPr>
        <w:t xml:space="preserve">No tenant or tenancy module. </w:t>
      </w:r>
      <w:r>
        <w:rPr>
          <w:rFonts w:ascii="Calibri" w:cs="Calibri" w:eastAsia="Calibri" w:hAnsi="Calibri"/>
          <w:sz w:val="22"/>
          <w:szCs w:val="22"/>
        </w:rPr>
        <w:t xml:space="preserve">The tenants and notifications tables exist but there is no UX for tenancies, rent, voids, or anti-social behaviour cases. You do not need a full housing-management system, but a thin "household profile" panel would unlock several other features.</w:t>
      </w:r>
    </w:p>
    <w:p>
      <w:pPr>
        <w:pStyle w:val="ListParagraph"/>
        <w:numPr>
          <w:ilvl w:val="0"/>
          <w:numId w:val="2"/>
        </w:numPr>
        <w:spacing w:after="60" w:line="280"/>
      </w:pPr>
      <w:r>
        <w:rPr>
          <w:rFonts w:ascii="Calibri" w:cs="Calibri" w:eastAsia="Calibri" w:hAnsi="Calibri"/>
          <w:b/>
          <w:bCs/>
          <w:sz w:val="22"/>
          <w:szCs w:val="22"/>
        </w:rPr>
        <w:t xml:space="preserve">No formal report generation. </w:t>
      </w:r>
      <w:r>
        <w:rPr>
          <w:rFonts w:ascii="Calibri" w:cs="Calibri" w:eastAsia="Calibri" w:hAnsi="Calibri"/>
          <w:sz w:val="22"/>
          <w:szCs w:val="22"/>
        </w:rPr>
        <w:t xml:space="preserve">Exports are CSV/GeoJSON. A "board pack" PDF report (portfolio overview, top 10 risk properties, retrofit priorities, capital programme) would be high-value and is a one-evening build with the existing analytics endpoints.</w:t>
      </w:r>
    </w:p>
    <w:p>
      <w:pPr>
        <w:pStyle w:val="Heading1"/>
        <w:spacing w:after="160" w:before="360"/>
      </w:pPr>
      <w:r>
        <w:rPr>
          <w:rFonts w:ascii="Calibri" w:cs="Calibri" w:eastAsia="Calibri" w:hAnsi="Calibri"/>
          <w:b/>
          <w:bCs/>
          <w:color w:val="1B4F72"/>
          <w:sz w:val="32"/>
          <w:szCs w:val="32"/>
        </w:rPr>
        <w:t xml:space="preserve">4. Where SHDT sits in the product landscape</w:t>
      </w:r>
    </w:p>
    <w:p>
      <w:pPr>
        <w:spacing w:after="100" w:line="300"/>
      </w:pPr>
      <w:r>
        <w:rPr>
          <w:rFonts w:ascii="Calibri" w:cs="Calibri" w:eastAsia="Calibri" w:hAnsi="Calibri"/>
          <w:sz w:val="22"/>
          <w:szCs w:val="22"/>
        </w:rPr>
        <w:t xml:space="preserve">SHDT sits between three product categories. None of them are the same thing, but each does something yours does not, and the gaps with each one are revealing in a different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pPr>
              <w:spacing w:after="0" w:line="260"/>
            </w:pPr>
            <w:r>
              <w:rPr>
                <w:rFonts w:ascii="Calibri" w:cs="Calibri" w:eastAsia="Calibri" w:hAnsi="Calibri"/>
                <w:b/>
                <w:bCs/>
                <w:color w:val="FFFFFF"/>
                <w:sz w:val="20"/>
                <w:szCs w:val="20"/>
              </w:rPr>
              <w:t xml:space="preserve">Category</w:t>
            </w:r>
          </w:p>
        </w:tc>
        <w:tc>
          <w:tcPr>
            <w:tcW w:type="dxa" w:w="27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pPr>
              <w:spacing w:after="0" w:line="260"/>
            </w:pPr>
            <w:r>
              <w:rPr>
                <w:rFonts w:ascii="Calibri" w:cs="Calibri" w:eastAsia="Calibri" w:hAnsi="Calibri"/>
                <w:b/>
                <w:bCs/>
                <w:color w:val="FFFFFF"/>
                <w:sz w:val="20"/>
                <w:szCs w:val="20"/>
              </w:rPr>
              <w:t xml:space="preserve">Examples</w:t>
            </w:r>
          </w:p>
        </w:tc>
        <w:tc>
          <w:tcPr>
            <w:tcW w:type="dxa" w:w="4126"/>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pPr>
              <w:spacing w:after="0" w:line="260"/>
            </w:pPr>
            <w:r>
              <w:rPr>
                <w:rFonts w:ascii="Calibri" w:cs="Calibri" w:eastAsia="Calibri" w:hAnsi="Calibri"/>
                <w:b/>
                <w:bCs/>
                <w:color w:val="FFFFFF"/>
                <w:sz w:val="20"/>
                <w:szCs w:val="20"/>
              </w:rPr>
              <w:t xml:space="preserve">What they do that SHDT does not (yet)</w:t>
            </w:r>
          </w:p>
        </w:tc>
      </w:tr>
      <w:tr>
        <w:tc>
          <w:tcPr>
            <w:tcW w:type="dxa" w:w="22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pPr>
              <w:spacing w:after="40" w:line="260"/>
            </w:pPr>
            <w:r>
              <w:rPr>
                <w:rFonts w:ascii="Calibri" w:cs="Calibri" w:eastAsia="Calibri" w:hAnsi="Calibri"/>
                <w:b/>
                <w:bCs/>
                <w:sz w:val="20"/>
                <w:szCs w:val="20"/>
              </w:rPr>
              <w:t xml:space="preserve">Asset / housing management systems of record</w:t>
            </w:r>
          </w:p>
        </w:tc>
        <w:tc>
          <w:tcPr>
            <w:tcW w:type="dxa" w:w="27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pPr>
              <w:spacing w:after="40" w:line="260"/>
            </w:pPr>
            <w:r>
              <w:rPr>
                <w:rFonts w:ascii="Calibri" w:cs="Calibri" w:eastAsia="Calibri" w:hAnsi="Calibri"/>
                <w:sz w:val="20"/>
                <w:szCs w:val="20"/>
              </w:rPr>
              <w:t xml:space="preserve">Civica Cx Housing</w:t>
            </w:r>
          </w:p>
          <w:p>
            <w:pPr>
              <w:spacing w:after="40" w:line="260"/>
            </w:pPr>
            <w:r>
              <w:rPr>
                <w:rFonts w:ascii="Calibri" w:cs="Calibri" w:eastAsia="Calibri" w:hAnsi="Calibri"/>
                <w:sz w:val="20"/>
                <w:szCs w:val="20"/>
              </w:rPr>
              <w:t xml:space="preserve">MRI Living (formerly Castleton)</w:t>
            </w:r>
          </w:p>
          <w:p>
            <w:pPr>
              <w:spacing w:after="40" w:line="260"/>
            </w:pPr>
            <w:r>
              <w:rPr>
                <w:rFonts w:ascii="Calibri" w:cs="Calibri" w:eastAsia="Calibri" w:hAnsi="Calibri"/>
                <w:sz w:val="20"/>
                <w:szCs w:val="20"/>
              </w:rPr>
              <w:t xml:space="preserve">Aareon QL</w:t>
            </w:r>
          </w:p>
          <w:p>
            <w:pPr>
              <w:spacing w:after="40" w:line="260"/>
            </w:pPr>
            <w:r>
              <w:rPr>
                <w:rFonts w:ascii="Calibri" w:cs="Calibri" w:eastAsia="Calibri" w:hAnsi="Calibri"/>
                <w:sz w:val="20"/>
                <w:szCs w:val="20"/>
              </w:rPr>
              <w:t xml:space="preserve">NEC Housing</w:t>
            </w:r>
          </w:p>
        </w:tc>
        <w:tc>
          <w:tcPr>
            <w:tcW w:type="dxa" w:w="4126"/>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pPr>
              <w:spacing w:after="40" w:line="260"/>
            </w:pPr>
            <w:r>
              <w:rPr>
                <w:rFonts w:ascii="Calibri" w:cs="Calibri" w:eastAsia="Calibri" w:hAnsi="Calibri"/>
                <w:sz w:val="20"/>
                <w:szCs w:val="20"/>
              </w:rPr>
              <w:t xml:space="preserve">Repairs work-order lifecycle with NHF Schedule of Rates</w:t>
            </w:r>
          </w:p>
          <w:p>
            <w:pPr>
              <w:spacing w:after="40" w:line="260"/>
            </w:pPr>
            <w:r>
              <w:rPr>
                <w:rFonts w:ascii="Calibri" w:cs="Calibri" w:eastAsia="Calibri" w:hAnsi="Calibri"/>
                <w:sz w:val="20"/>
                <w:szCs w:val="20"/>
              </w:rPr>
              <w:t xml:space="preserve">Statutory compliance regime (gas, EICR, FRA, asbestos, Legionella, LOLER)</w:t>
            </w:r>
          </w:p>
          <w:p>
            <w:pPr>
              <w:spacing w:after="40" w:line="260"/>
            </w:pPr>
            <w:r>
              <w:rPr>
                <w:rFonts w:ascii="Calibri" w:cs="Calibri" w:eastAsia="Calibri" w:hAnsi="Calibri"/>
                <w:sz w:val="20"/>
                <w:szCs w:val="20"/>
              </w:rPr>
              <w:t xml:space="preserve">Tenancy, rent and arrears modules</w:t>
            </w:r>
          </w:p>
          <w:p>
            <w:pPr>
              <w:spacing w:after="40" w:line="260"/>
            </w:pPr>
            <w:r>
              <w:rPr>
                <w:rFonts w:ascii="Calibri" w:cs="Calibri" w:eastAsia="Calibri" w:hAnsi="Calibri"/>
                <w:sz w:val="20"/>
                <w:szCs w:val="20"/>
              </w:rPr>
              <w:t xml:space="preserve">Voids management, allocations, lettings</w:t>
            </w:r>
          </w:p>
          <w:p>
            <w:pPr>
              <w:spacing w:after="40" w:line="260"/>
            </w:pPr>
            <w:r>
              <w:rPr>
                <w:rFonts w:ascii="Calibri" w:cs="Calibri" w:eastAsia="Calibri" w:hAnsi="Calibri"/>
                <w:sz w:val="20"/>
                <w:szCs w:val="20"/>
              </w:rPr>
              <w:t xml:space="preserve">Capital programme delivery and budget tracking</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60"/>
            </w:pPr>
            <w:r>
              <w:rPr>
                <w:rFonts w:ascii="Calibri" w:cs="Calibri" w:eastAsia="Calibri" w:hAnsi="Calibri"/>
                <w:b/>
                <w:bCs/>
                <w:sz w:val="20"/>
                <w:szCs w:val="20"/>
              </w:rPr>
              <w:t xml:space="preserve">Stock-condition / housing data specialists</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60"/>
            </w:pPr>
            <w:r>
              <w:rPr>
                <w:rFonts w:ascii="Calibri" w:cs="Calibri" w:eastAsia="Calibri" w:hAnsi="Calibri"/>
                <w:sz w:val="20"/>
                <w:szCs w:val="20"/>
              </w:rPr>
              <w:t xml:space="preserve">Savills (Housing Insight)</w:t>
            </w:r>
          </w:p>
          <w:p>
            <w:pPr>
              <w:spacing w:after="40" w:line="260"/>
            </w:pPr>
            <w:r>
              <w:rPr>
                <w:rFonts w:ascii="Calibri" w:cs="Calibri" w:eastAsia="Calibri" w:hAnsi="Calibri"/>
                <w:sz w:val="20"/>
                <w:szCs w:val="20"/>
              </w:rPr>
              <w:t xml:space="preserve">Pennington Choices</w:t>
            </w:r>
          </w:p>
          <w:p>
            <w:pPr>
              <w:spacing w:after="40" w:line="260"/>
            </w:pPr>
            <w:r>
              <w:rPr>
                <w:rFonts w:ascii="Calibri" w:cs="Calibri" w:eastAsia="Calibri" w:hAnsi="Calibri"/>
                <w:sz w:val="20"/>
                <w:szCs w:val="20"/>
              </w:rPr>
              <w:t xml:space="preserve">Rand Associates</w:t>
            </w:r>
          </w:p>
          <w:p>
            <w:pPr>
              <w:spacing w:after="40" w:line="260"/>
            </w:pPr>
            <w:r>
              <w:rPr>
                <w:rFonts w:ascii="Calibri" w:cs="Calibri" w:eastAsia="Calibri" w:hAnsi="Calibri"/>
                <w:sz w:val="20"/>
                <w:szCs w:val="20"/>
              </w:rPr>
              <w:t xml:space="preserve">Hometrack</w:t>
            </w:r>
          </w:p>
          <w:p>
            <w:pPr>
              <w:spacing w:after="40" w:line="260"/>
            </w:pPr>
            <w:r>
              <w:rPr>
                <w:rFonts w:ascii="Calibri" w:cs="Calibri" w:eastAsia="Calibri" w:hAnsi="Calibri"/>
                <w:sz w:val="20"/>
                <w:szCs w:val="20"/>
              </w:rPr>
              <w:t xml:space="preserve">Switchee</w:t>
            </w:r>
          </w:p>
          <w:p>
            <w:pPr>
              <w:spacing w:after="40" w:line="260"/>
            </w:pPr>
            <w:r>
              <w:rPr>
                <w:rFonts w:ascii="Calibri" w:cs="Calibri" w:eastAsia="Calibri" w:hAnsi="Calibri"/>
                <w:sz w:val="20"/>
                <w:szCs w:val="20"/>
              </w:rPr>
              <w:t xml:space="preserve">Aico HomeLINK</w:t>
            </w:r>
          </w:p>
        </w:tc>
        <w:tc>
          <w:tcPr>
            <w:tcW w:type="dxa" w:w="41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60"/>
            </w:pPr>
            <w:r>
              <w:rPr>
                <w:rFonts w:ascii="Calibri" w:cs="Calibri" w:eastAsia="Calibri" w:hAnsi="Calibri"/>
                <w:sz w:val="20"/>
                <w:szCs w:val="20"/>
              </w:rPr>
              <w:t xml:space="preserve">Surveyor-led stock condition reports with NHF SOR coding</w:t>
            </w:r>
          </w:p>
          <w:p>
            <w:pPr>
              <w:spacing w:after="40" w:line="260"/>
            </w:pPr>
            <w:r>
              <w:rPr>
                <w:rFonts w:ascii="Calibri" w:cs="Calibri" w:eastAsia="Calibri" w:hAnsi="Calibri"/>
                <w:sz w:val="20"/>
                <w:szCs w:val="20"/>
              </w:rPr>
              <w:t xml:space="preserve">Automated valuation models (AVMs) for portfolio NPV</w:t>
            </w:r>
          </w:p>
          <w:p>
            <w:pPr>
              <w:spacing w:after="40" w:line="260"/>
            </w:pPr>
            <w:r>
              <w:rPr>
                <w:rFonts w:ascii="Calibri" w:cs="Calibri" w:eastAsia="Calibri" w:hAnsi="Calibri"/>
                <w:sz w:val="20"/>
                <w:szCs w:val="20"/>
              </w:rPr>
              <w:t xml:space="preserve">IoT damp / mould / temperature sensor feeds</w:t>
            </w:r>
          </w:p>
          <w:p>
            <w:pPr>
              <w:spacing w:after="40" w:line="260"/>
            </w:pPr>
            <w:r>
              <w:rPr>
                <w:rFonts w:ascii="Calibri" w:cs="Calibri" w:eastAsia="Calibri" w:hAnsi="Calibri"/>
                <w:sz w:val="20"/>
                <w:szCs w:val="20"/>
              </w:rPr>
              <w:t xml:space="preserve">Carbon trajectory modelling for SHDF Wave 4 / ECO4 Flex routes</w:t>
            </w:r>
          </w:p>
          <w:p>
            <w:pPr>
              <w:spacing w:after="40" w:line="260"/>
            </w:pPr>
            <w:r>
              <w:rPr>
                <w:rFonts w:ascii="Calibri" w:cs="Calibri" w:eastAsia="Calibri" w:hAnsi="Calibri"/>
                <w:sz w:val="20"/>
                <w:szCs w:val="20"/>
              </w:rPr>
              <w:t xml:space="preserve">Option appraisals: keep / refurb / dispose</w:t>
            </w:r>
          </w:p>
        </w:tc>
      </w:tr>
      <w:tr>
        <w:tc>
          <w:tcPr>
            <w:tcW w:type="dxa" w:w="22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pPr>
              <w:spacing w:after="40" w:line="260"/>
            </w:pPr>
            <w:r>
              <w:rPr>
                <w:rFonts w:ascii="Calibri" w:cs="Calibri" w:eastAsia="Calibri" w:hAnsi="Calibri"/>
                <w:b/>
                <w:bCs/>
                <w:sz w:val="20"/>
                <w:szCs w:val="20"/>
              </w:rPr>
              <w:t xml:space="preserve">Digital-twin and BIM / GIS platforms</w:t>
            </w:r>
          </w:p>
        </w:tc>
        <w:tc>
          <w:tcPr>
            <w:tcW w:type="dxa" w:w="27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pPr>
              <w:spacing w:after="40" w:line="260"/>
            </w:pPr>
            <w:r>
              <w:rPr>
                <w:rFonts w:ascii="Calibri" w:cs="Calibri" w:eastAsia="Calibri" w:hAnsi="Calibri"/>
                <w:sz w:val="20"/>
                <w:szCs w:val="20"/>
              </w:rPr>
              <w:t xml:space="preserve">Esri ArcGIS Urban</w:t>
            </w:r>
          </w:p>
          <w:p>
            <w:pPr>
              <w:spacing w:after="40" w:line="260"/>
            </w:pPr>
            <w:r>
              <w:rPr>
                <w:rFonts w:ascii="Calibri" w:cs="Calibri" w:eastAsia="Calibri" w:hAnsi="Calibri"/>
                <w:sz w:val="20"/>
                <w:szCs w:val="20"/>
              </w:rPr>
              <w:t xml:space="preserve">Bentley iTwin</w:t>
            </w:r>
          </w:p>
          <w:p>
            <w:pPr>
              <w:spacing w:after="40" w:line="260"/>
            </w:pPr>
            <w:r>
              <w:rPr>
                <w:rFonts w:ascii="Calibri" w:cs="Calibri" w:eastAsia="Calibri" w:hAnsi="Calibri"/>
                <w:sz w:val="20"/>
                <w:szCs w:val="20"/>
              </w:rPr>
              <w:t xml:space="preserve">Autodesk Tandem</w:t>
            </w:r>
          </w:p>
          <w:p>
            <w:pPr>
              <w:spacing w:after="40" w:line="260"/>
            </w:pPr>
            <w:r>
              <w:rPr>
                <w:rFonts w:ascii="Calibri" w:cs="Calibri" w:eastAsia="Calibri" w:hAnsi="Calibri"/>
                <w:sz w:val="20"/>
                <w:szCs w:val="20"/>
              </w:rPr>
              <w:t xml:space="preserve">IES iSCAN / VE</w:t>
            </w:r>
          </w:p>
          <w:p>
            <w:pPr>
              <w:spacing w:after="40" w:line="260"/>
            </w:pPr>
            <w:r>
              <w:rPr>
                <w:rFonts w:ascii="Calibri" w:cs="Calibri" w:eastAsia="Calibri" w:hAnsi="Calibri"/>
                <w:sz w:val="20"/>
                <w:szCs w:val="20"/>
              </w:rPr>
              <w:t xml:space="preserve">Cityzenith</w:t>
            </w:r>
          </w:p>
          <w:p>
            <w:pPr>
              <w:spacing w:after="40" w:line="260"/>
            </w:pPr>
            <w:r>
              <w:rPr>
                <w:rFonts w:ascii="Calibri" w:cs="Calibri" w:eastAsia="Calibri" w:hAnsi="Calibri"/>
                <w:sz w:val="20"/>
                <w:szCs w:val="20"/>
              </w:rPr>
              <w:t xml:space="preserve">Matterport</w:t>
            </w:r>
          </w:p>
        </w:tc>
        <w:tc>
          <w:tcPr>
            <w:tcW w:type="dxa" w:w="4126"/>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pPr>
              <w:spacing w:after="40" w:line="260"/>
            </w:pPr>
            <w:r>
              <w:rPr>
                <w:rFonts w:ascii="Calibri" w:cs="Calibri" w:eastAsia="Calibri" w:hAnsi="Calibri"/>
                <w:sz w:val="20"/>
                <w:szCs w:val="20"/>
              </w:rPr>
              <w:t xml:space="preserve">IFC / COBie / BIM model ingestion</w:t>
            </w:r>
          </w:p>
          <w:p>
            <w:pPr>
              <w:spacing w:after="40" w:line="260"/>
            </w:pPr>
            <w:r>
              <w:rPr>
                <w:rFonts w:ascii="Calibri" w:cs="Calibri" w:eastAsia="Calibri" w:hAnsi="Calibri"/>
                <w:sz w:val="20"/>
                <w:szCs w:val="20"/>
              </w:rPr>
              <w:t xml:space="preserve">Photogrammetry and lidar point clouds</w:t>
            </w:r>
          </w:p>
          <w:p>
            <w:pPr>
              <w:spacing w:after="40" w:line="260"/>
            </w:pPr>
            <w:r>
              <w:rPr>
                <w:rFonts w:ascii="Calibri" w:cs="Calibri" w:eastAsia="Calibri" w:hAnsi="Calibri"/>
                <w:sz w:val="20"/>
                <w:szCs w:val="20"/>
              </w:rPr>
              <w:t xml:space="preserve">Energy / thermal simulation (EnergyPlus, IES VE)</w:t>
            </w:r>
          </w:p>
          <w:p>
            <w:pPr>
              <w:spacing w:after="40" w:line="260"/>
            </w:pPr>
            <w:r>
              <w:rPr>
                <w:rFonts w:ascii="Calibri" w:cs="Calibri" w:eastAsia="Calibri" w:hAnsi="Calibri"/>
                <w:sz w:val="20"/>
                <w:szCs w:val="20"/>
              </w:rPr>
              <w:t xml:space="preserve">UKCP18 climate-projection scenarios</w:t>
            </w:r>
          </w:p>
          <w:p>
            <w:pPr>
              <w:spacing w:after="40" w:line="260"/>
            </w:pPr>
            <w:r>
              <w:rPr>
                <w:rFonts w:ascii="Calibri" w:cs="Calibri" w:eastAsia="Calibri" w:hAnsi="Calibri"/>
                <w:sz w:val="20"/>
                <w:szCs w:val="20"/>
              </w:rPr>
              <w:t xml:space="preserve">Federated GIS layers (Listed buildings, Conservation, Article 4, TPO)</w:t>
            </w:r>
          </w:p>
        </w:tc>
      </w:tr>
    </w:tbl>
    <w:p>
      <w:pPr>
        <w:spacing w:after="80"/>
      </w:pPr>
      <w:r>
        <w:t xml:space="preserve"/>
      </w:r>
    </w:p>
    <w:p>
      <w:pPr>
        <w:spacing w:after="100" w:line="300"/>
      </w:pPr>
      <w:r>
        <w:rPr>
          <w:rFonts w:ascii="Calibri" w:cs="Calibri" w:eastAsia="Calibri" w:hAnsi="Calibri"/>
          <w:sz w:val="22"/>
          <w:szCs w:val="22"/>
        </w:rPr>
        <w:t xml:space="preserve">The comparator that maps most closely to where SHDT actually is today is </w:t>
      </w:r>
      <w:r>
        <w:rPr>
          <w:rFonts w:ascii="Calibri" w:cs="Calibri" w:eastAsia="Calibri" w:hAnsi="Calibri"/>
          <w:b/>
          <w:bCs/>
          <w:sz w:val="22"/>
          <w:szCs w:val="22"/>
        </w:rPr>
        <w:t xml:space="preserve">Esri ArcGIS Urban + Hometrack + a thin slice of Civica</w:t>
      </w:r>
      <w:r>
        <w:rPr>
          <w:rFonts w:ascii="Calibri" w:cs="Calibri" w:eastAsia="Calibri" w:hAnsi="Calibri"/>
          <w:sz w:val="22"/>
          <w:szCs w:val="22"/>
        </w:rPr>
        <w:t xml:space="preserve">. You do not need to compete with any single one of them; you need to do </w:t>
      </w:r>
      <w:r>
        <w:rPr>
          <w:rFonts w:ascii="Calibri" w:cs="Calibri" w:eastAsia="Calibri" w:hAnsi="Calibri"/>
          <w:i/>
          <w:iCs/>
          <w:sz w:val="22"/>
          <w:szCs w:val="22"/>
        </w:rPr>
        <w:t xml:space="preserve">one or two things they do not</w:t>
      </w:r>
      <w:r>
        <w:rPr>
          <w:rFonts w:ascii="Calibri" w:cs="Calibri" w:eastAsia="Calibri" w:hAnsi="Calibri"/>
          <w:sz w:val="22"/>
          <w:szCs w:val="22"/>
        </w:rPr>
        <w:t xml:space="preserve"> and you need to be visibly aware of what a real social-housing operator cares about.</w:t>
      </w:r>
    </w:p>
    <w:p>
      <w:pPr>
        <w:pStyle w:val="Heading1"/>
        <w:spacing w:after="160" w:before="360"/>
      </w:pPr>
      <w:r>
        <w:rPr>
          <w:rFonts w:ascii="Calibri" w:cs="Calibri" w:eastAsia="Calibri" w:hAnsi="Calibri"/>
          <w:b/>
          <w:bCs/>
          <w:color w:val="1B4F72"/>
          <w:sz w:val="32"/>
          <w:szCs w:val="32"/>
        </w:rPr>
        <w:t xml:space="preserve">5. What to build next, prioritised</w:t>
      </w:r>
    </w:p>
    <w:p>
      <w:pPr>
        <w:spacing w:after="100" w:line="300"/>
      </w:pPr>
      <w:r>
        <w:rPr>
          <w:rFonts w:ascii="Calibri" w:cs="Calibri" w:eastAsia="Calibri" w:hAnsi="Calibri"/>
          <w:sz w:val="22"/>
          <w:szCs w:val="22"/>
        </w:rPr>
        <w:t xml:space="preserve">Three priority bands. P0 are the things that change how the project reads to a housing-sector observer. P1 are the things a senior engineer expects to see. P2 are the wow-factor bets.</w:t>
      </w:r>
    </w:p>
    <w:p>
      <w:pPr>
        <w:pStyle w:val="Heading2"/>
        <w:spacing w:after="120" w:before="260"/>
      </w:pPr>
      <w:r>
        <w:rPr>
          <w:rFonts w:ascii="Calibri" w:cs="Calibri" w:eastAsia="Calibri" w:hAnsi="Calibri"/>
          <w:b/>
          <w:bCs/>
          <w:color w:val="2874A6"/>
          <w:sz w:val="26"/>
          <w:szCs w:val="26"/>
        </w:rPr>
        <w:t xml:space="preserve">5.1  P0 — domain credibility (do these first)</w:t>
      </w:r>
    </w:p>
    <w:p>
      <w:pPr>
        <w:pStyle w:val="ListParagraph"/>
        <w:numPr>
          <w:ilvl w:val="0"/>
          <w:numId w:val="2"/>
        </w:numPr>
        <w:spacing w:after="60" w:line="280"/>
      </w:pPr>
      <w:r>
        <w:rPr>
          <w:rFonts w:ascii="Calibri" w:cs="Calibri" w:eastAsia="Calibri" w:hAnsi="Calibri"/>
          <w:b/>
          <w:bCs/>
          <w:sz w:val="22"/>
          <w:szCs w:val="22"/>
        </w:rPr>
        <w:t xml:space="preserve">Damp-and-mould risk score (P0). </w:t>
      </w:r>
      <w:r>
        <w:rPr>
          <w:rFonts w:ascii="Calibri" w:cs="Calibri" w:eastAsia="Calibri" w:hAnsi="Calibri"/>
          <w:sz w:val="22"/>
          <w:szCs w:val="22"/>
        </w:rPr>
        <w:t xml:space="preserve">Combine low EPC + overcrowding + flat/no-extractor proxies + complaint text mentioning "damp", "mould", "condensation", "black spots". One float column, one map layer, one Insight card. ~1 day.</w:t>
      </w:r>
    </w:p>
    <w:p>
      <w:pPr>
        <w:pStyle w:val="ListParagraph"/>
        <w:numPr>
          <w:ilvl w:val="0"/>
          <w:numId w:val="2"/>
        </w:numPr>
        <w:spacing w:after="60" w:line="280"/>
      </w:pPr>
      <w:r>
        <w:rPr>
          <w:rFonts w:ascii="Calibri" w:cs="Calibri" w:eastAsia="Calibri" w:hAnsi="Calibri"/>
          <w:b/>
          <w:bCs/>
          <w:sz w:val="22"/>
          <w:szCs w:val="22"/>
        </w:rPr>
        <w:t xml:space="preserve">Compliance dashboard (P0). </w:t>
      </w:r>
      <w:r>
        <w:rPr>
          <w:rFonts w:ascii="Calibri" w:cs="Calibri" w:eastAsia="Calibri" w:hAnsi="Calibri"/>
          <w:sz w:val="22"/>
          <w:szCs w:val="22"/>
        </w:rPr>
        <w:t xml:space="preserve">Five tiles: Gas, EICR, FRA, Asbestos, Water Hygiene. Synthetic next-due dates per property, traffic-light status, RAG totals at the top. Add a "Generate compliance pack" PDF export. ~1 day.</w:t>
      </w:r>
    </w:p>
    <w:p>
      <w:pPr>
        <w:pStyle w:val="ListParagraph"/>
        <w:numPr>
          <w:ilvl w:val="0"/>
          <w:numId w:val="2"/>
        </w:numPr>
        <w:spacing w:after="60" w:line="280"/>
      </w:pPr>
      <w:r>
        <w:rPr>
          <w:rFonts w:ascii="Calibri" w:cs="Calibri" w:eastAsia="Calibri" w:hAnsi="Calibri"/>
          <w:b/>
          <w:bCs/>
          <w:sz w:val="22"/>
          <w:szCs w:val="22"/>
        </w:rPr>
        <w:t xml:space="preserve">Tenant Satisfaction Measures (P0). </w:t>
      </w:r>
      <w:r>
        <w:rPr>
          <w:rFonts w:ascii="Calibri" w:cs="Calibri" w:eastAsia="Calibri" w:hAnsi="Calibri"/>
          <w:sz w:val="22"/>
          <w:szCs w:val="22"/>
        </w:rPr>
        <w:t xml:space="preserve">Generate the 22 TSMs from synthetic survey data, render them on a Regulator-Return-style dashboard with the exact TP/RP/CH/NM/AS codes. ~½ day plus design.</w:t>
      </w:r>
    </w:p>
    <w:p>
      <w:pPr>
        <w:pStyle w:val="ListParagraph"/>
        <w:numPr>
          <w:ilvl w:val="0"/>
          <w:numId w:val="2"/>
        </w:numPr>
        <w:spacing w:after="60" w:line="280"/>
      </w:pPr>
      <w:r>
        <w:rPr>
          <w:rFonts w:ascii="Calibri" w:cs="Calibri" w:eastAsia="Calibri" w:hAnsi="Calibri"/>
          <w:b/>
          <w:bCs/>
          <w:sz w:val="22"/>
          <w:szCs w:val="22"/>
        </w:rPr>
        <w:t xml:space="preserve">Awaab’s Law caseload board (P0). </w:t>
      </w:r>
      <w:r>
        <w:rPr>
          <w:rFonts w:ascii="Calibri" w:cs="Calibri" w:eastAsia="Calibri" w:hAnsi="Calibri"/>
          <w:sz w:val="22"/>
          <w:szCs w:val="22"/>
        </w:rPr>
        <w:t xml:space="preserve">A Kanban: Reported → Investigated → Repair scheduled → Repaired → Closed, with a 14-day investigation SLA clock and a 7-day emergency repair clock. Surface SLA breaches as critical Strategic Insights. ~1 day.</w:t>
      </w:r>
    </w:p>
    <w:p>
      <w:pPr>
        <w:pStyle w:val="Heading2"/>
        <w:spacing w:after="120" w:before="260"/>
      </w:pPr>
      <w:r>
        <w:rPr>
          <w:rFonts w:ascii="Calibri" w:cs="Calibri" w:eastAsia="Calibri" w:hAnsi="Calibri"/>
          <w:b/>
          <w:bCs/>
          <w:color w:val="2874A6"/>
          <w:sz w:val="26"/>
          <w:szCs w:val="26"/>
        </w:rPr>
        <w:t xml:space="preserve">5.2  P1 — engineering and data foundations</w:t>
      </w:r>
    </w:p>
    <w:p>
      <w:pPr>
        <w:pStyle w:val="ListParagraph"/>
        <w:numPr>
          <w:ilvl w:val="0"/>
          <w:numId w:val="2"/>
        </w:numPr>
        <w:spacing w:after="60" w:line="280"/>
      </w:pPr>
      <w:r>
        <w:rPr>
          <w:rFonts w:ascii="Calibri" w:cs="Calibri" w:eastAsia="Calibri" w:hAnsi="Calibri"/>
          <w:b/>
          <w:bCs/>
          <w:sz w:val="22"/>
          <w:szCs w:val="22"/>
        </w:rPr>
        <w:t xml:space="preserve">Real Census 2021 ingestion. </w:t>
      </w:r>
      <w:r>
        <w:rPr>
          <w:rFonts w:ascii="Calibri" w:cs="Calibri" w:eastAsia="Calibri" w:hAnsi="Calibri"/>
          <w:sz w:val="22"/>
          <w:szCs w:val="22"/>
        </w:rPr>
        <w:t xml:space="preserve">Replace synthetic LSOA data with Nomis bulk download (TS001, TS006, TS017, TS021 etc.). Update enrich_census.py to rebase on real values; keep the synthetic fallback for properties without a matched LSOA. Label honestly in the UI.</w:t>
      </w:r>
    </w:p>
    <w:p>
      <w:pPr>
        <w:pStyle w:val="ListParagraph"/>
        <w:numPr>
          <w:ilvl w:val="0"/>
          <w:numId w:val="2"/>
        </w:numPr>
        <w:spacing w:after="60" w:line="280"/>
      </w:pPr>
      <w:r>
        <w:rPr>
          <w:rFonts w:ascii="Calibri" w:cs="Calibri" w:eastAsia="Calibri" w:hAnsi="Calibri"/>
          <w:b/>
          <w:bCs/>
          <w:sz w:val="22"/>
          <w:szCs w:val="22"/>
        </w:rPr>
        <w:t xml:space="preserve">EPC register live integration. </w:t>
      </w:r>
      <w:r>
        <w:rPr>
          <w:rFonts w:ascii="Calibri" w:cs="Calibri" w:eastAsia="Calibri" w:hAnsi="Calibri"/>
          <w:sz w:val="22"/>
          <w:szCs w:val="22"/>
        </w:rPr>
        <w:t xml:space="preserve">Register at opendatacommunities.org, finish enrich_epc.py, populate energy_efficiency_current/potential, fuel_type and main_heat_description for the portfolio.</w:t>
      </w:r>
    </w:p>
    <w:p>
      <w:pPr>
        <w:pStyle w:val="ListParagraph"/>
        <w:numPr>
          <w:ilvl w:val="0"/>
          <w:numId w:val="2"/>
        </w:numPr>
        <w:spacing w:after="60" w:line="280"/>
      </w:pPr>
      <w:r>
        <w:rPr>
          <w:rFonts w:ascii="Calibri" w:cs="Calibri" w:eastAsia="Calibri" w:hAnsi="Calibri"/>
          <w:b/>
          <w:bCs/>
          <w:sz w:val="22"/>
          <w:szCs w:val="22"/>
        </w:rPr>
        <w:t xml:space="preserve">Stock-condition mobile capture. </w:t>
      </w:r>
      <w:r>
        <w:rPr>
          <w:rFonts w:ascii="Calibri" w:cs="Calibri" w:eastAsia="Calibri" w:hAnsi="Calibri"/>
          <w:sz w:val="22"/>
          <w:szCs w:val="22"/>
        </w:rPr>
        <w:t xml:space="preserve">A surveyor view (mobile-first React route) that records component condition (1–5), photos, notes, and writes to property_components. Even without offline capability this is a credible workflow.</w:t>
      </w:r>
    </w:p>
    <w:p>
      <w:pPr>
        <w:pStyle w:val="ListParagraph"/>
        <w:numPr>
          <w:ilvl w:val="0"/>
          <w:numId w:val="2"/>
        </w:numPr>
        <w:spacing w:after="60" w:line="280"/>
      </w:pPr>
      <w:r>
        <w:rPr>
          <w:rFonts w:ascii="Calibri" w:cs="Calibri" w:eastAsia="Calibri" w:hAnsi="Calibri"/>
          <w:b/>
          <w:bCs/>
          <w:sz w:val="22"/>
          <w:szCs w:val="22"/>
        </w:rPr>
        <w:t xml:space="preserve">Splitting App.tsx and analytics_service.py. </w:t>
      </w:r>
      <w:r>
        <w:rPr>
          <w:rFonts w:ascii="Calibri" w:cs="Calibri" w:eastAsia="Calibri" w:hAnsi="Calibri"/>
          <w:sz w:val="22"/>
          <w:szCs w:val="22"/>
        </w:rPr>
        <w:t xml:space="preserve">Mechanical refactor — one file per Insights tab, one file per Strategic Insight. Adds testability and removes the single biggest "ugh" reaction from a code reviewer.</w:t>
      </w:r>
    </w:p>
    <w:p>
      <w:pPr>
        <w:pStyle w:val="ListParagraph"/>
        <w:numPr>
          <w:ilvl w:val="0"/>
          <w:numId w:val="2"/>
        </w:numPr>
        <w:spacing w:after="60" w:line="280"/>
      </w:pPr>
      <w:r>
        <w:rPr>
          <w:rFonts w:ascii="Calibri" w:cs="Calibri" w:eastAsia="Calibri" w:hAnsi="Calibri"/>
          <w:b/>
          <w:bCs/>
          <w:sz w:val="22"/>
          <w:szCs w:val="22"/>
        </w:rPr>
        <w:t xml:space="preserve">Test scaffolding + GitHub Actions CI. </w:t>
      </w:r>
      <w:r>
        <w:rPr>
          <w:rFonts w:ascii="Calibri" w:cs="Calibri" w:eastAsia="Calibri" w:hAnsi="Calibri"/>
          <w:sz w:val="22"/>
          <w:szCs w:val="22"/>
        </w:rPr>
        <w:t xml:space="preserve">Pytest fixtures for the analytics service against a Docker-Compose Postgres in CI; a couple of Vitest snapshot tests for the frontend. Run lint + tests on PR.</w:t>
      </w:r>
    </w:p>
    <w:p>
      <w:pPr>
        <w:pStyle w:val="Heading2"/>
        <w:spacing w:after="120" w:before="260"/>
      </w:pPr>
      <w:r>
        <w:rPr>
          <w:rFonts w:ascii="Calibri" w:cs="Calibri" w:eastAsia="Calibri" w:hAnsi="Calibri"/>
          <w:b/>
          <w:bCs/>
          <w:color w:val="2874A6"/>
          <w:sz w:val="26"/>
          <w:szCs w:val="26"/>
        </w:rPr>
        <w:t xml:space="preserve">5.3  P2 — ambitious bets</w:t>
      </w:r>
    </w:p>
    <w:p>
      <w:pPr>
        <w:pStyle w:val="ListParagraph"/>
        <w:numPr>
          <w:ilvl w:val="0"/>
          <w:numId w:val="2"/>
        </w:numPr>
        <w:spacing w:after="60" w:line="280"/>
      </w:pPr>
      <w:r>
        <w:rPr>
          <w:rFonts w:ascii="Calibri" w:cs="Calibri" w:eastAsia="Calibri" w:hAnsi="Calibri"/>
          <w:b/>
          <w:bCs/>
          <w:sz w:val="22"/>
          <w:szCs w:val="22"/>
        </w:rPr>
        <w:t xml:space="preserve">Climate adaptation overlay. </w:t>
      </w:r>
      <w:r>
        <w:rPr>
          <w:rFonts w:ascii="Calibri" w:cs="Calibri" w:eastAsia="Calibri" w:hAnsi="Calibri"/>
          <w:sz w:val="22"/>
          <w:szCs w:val="22"/>
        </w:rPr>
        <w:t xml:space="preserve">Layer UKCP18 climate projections (2030/2050/2080 sea level + flood-return periods) onto the existing EA flood map. Output a "climate-resilience" portfolio score per property. This is genuinely novel.</w:t>
      </w:r>
    </w:p>
    <w:p>
      <w:pPr>
        <w:pStyle w:val="ListParagraph"/>
        <w:numPr>
          <w:ilvl w:val="0"/>
          <w:numId w:val="2"/>
        </w:numPr>
        <w:spacing w:after="60" w:line="280"/>
      </w:pPr>
      <w:r>
        <w:rPr>
          <w:rFonts w:ascii="Calibri" w:cs="Calibri" w:eastAsia="Calibri" w:hAnsi="Calibri"/>
          <w:b/>
          <w:bCs/>
          <w:sz w:val="22"/>
          <w:szCs w:val="22"/>
        </w:rPr>
        <w:t xml:space="preserve">Mock IoT sensor ingestion. </w:t>
      </w:r>
      <w:r>
        <w:rPr>
          <w:rFonts w:ascii="Calibri" w:cs="Calibri" w:eastAsia="Calibri" w:hAnsi="Calibri"/>
          <w:sz w:val="22"/>
          <w:szCs w:val="22"/>
        </w:rPr>
        <w:t xml:space="preserve">A simulated Switchee/AICO HomeLINK feed: temperature, humidity and CO₂ per room every 15 minutes for a sample of properties. Animate the Digital Twin viewer with live timelines. Even simulated, this is the most "wow" you can buy for ~1 day of work.</w:t>
      </w:r>
    </w:p>
    <w:p>
      <w:pPr>
        <w:pStyle w:val="ListParagraph"/>
        <w:numPr>
          <w:ilvl w:val="0"/>
          <w:numId w:val="2"/>
        </w:numPr>
        <w:spacing w:after="60" w:line="280"/>
      </w:pPr>
      <w:r>
        <w:rPr>
          <w:rFonts w:ascii="Calibri" w:cs="Calibri" w:eastAsia="Calibri" w:hAnsi="Calibri"/>
          <w:b/>
          <w:bCs/>
          <w:sz w:val="22"/>
          <w:szCs w:val="22"/>
        </w:rPr>
        <w:t xml:space="preserve">"Ask the data" LLM Q&amp;A. </w:t>
      </w:r>
      <w:r>
        <w:rPr>
          <w:rFonts w:ascii="Calibri" w:cs="Calibri" w:eastAsia="Calibri" w:hAnsi="Calibri"/>
          <w:sz w:val="22"/>
          <w:szCs w:val="22"/>
        </w:rPr>
        <w:t xml:space="preserve">A small RAG-style query layer over the property table: "Show me 3-bed flats with EPC E or F in IMD decile 1–3 with damp risk above 60". Use Anthropic API with structured tool use; render the answer as a filterable map view.</w:t>
      </w:r>
    </w:p>
    <w:p>
      <w:pPr>
        <w:pStyle w:val="ListParagraph"/>
        <w:numPr>
          <w:ilvl w:val="0"/>
          <w:numId w:val="2"/>
        </w:numPr>
        <w:spacing w:after="60" w:line="280"/>
      </w:pPr>
      <w:r>
        <w:rPr>
          <w:rFonts w:ascii="Calibri" w:cs="Calibri" w:eastAsia="Calibri" w:hAnsi="Calibri"/>
          <w:b/>
          <w:bCs/>
          <w:sz w:val="22"/>
          <w:szCs w:val="22"/>
        </w:rPr>
        <w:t xml:space="preserve">Net Zero / SHDF case generator. </w:t>
      </w:r>
      <w:r>
        <w:rPr>
          <w:rFonts w:ascii="Calibri" w:cs="Calibri" w:eastAsia="Calibri" w:hAnsi="Calibri"/>
          <w:sz w:val="22"/>
          <w:szCs w:val="22"/>
        </w:rPr>
        <w:t xml:space="preserve">Pre-fill an SHDF Wave 4 application from the portfolio: target archetype list, projected savings, intervention plan, cost matched to the Government cap. Output: PDF + supporting CSV.</w:t>
      </w:r>
    </w:p>
    <w:p>
      <w:pPr>
        <w:pStyle w:val="ListParagraph"/>
        <w:numPr>
          <w:ilvl w:val="0"/>
          <w:numId w:val="2"/>
        </w:numPr>
        <w:spacing w:after="60" w:line="280"/>
      </w:pPr>
      <w:r>
        <w:rPr>
          <w:rFonts w:ascii="Calibri" w:cs="Calibri" w:eastAsia="Calibri" w:hAnsi="Calibri"/>
          <w:b/>
          <w:bCs/>
          <w:sz w:val="22"/>
          <w:szCs w:val="22"/>
        </w:rPr>
        <w:t xml:space="preserve">Photogrammetry capture. </w:t>
      </w:r>
      <w:r>
        <w:rPr>
          <w:rFonts w:ascii="Calibri" w:cs="Calibri" w:eastAsia="Calibri" w:hAnsi="Calibri"/>
          <w:sz w:val="22"/>
          <w:szCs w:val="22"/>
        </w:rPr>
        <w:t xml:space="preserve">Phone-photo upload that runs through an open-source SfM pipeline (Meshroom / OpenSfM) into a textured mesh viewable in the existing Three.js viewer. Genuinely ambitious, but a real wow if pulled off even on one demo property.</w:t>
      </w:r>
    </w:p>
    <w:p>
      <w:pPr>
        <w:pStyle w:val="Heading1"/>
        <w:spacing w:after="160" w:before="360"/>
      </w:pPr>
      <w:r>
        <w:rPr>
          <w:rFonts w:ascii="Calibri" w:cs="Calibri" w:eastAsia="Calibri" w:hAnsi="Calibri"/>
          <w:b/>
          <w:bCs/>
          <w:color w:val="1B4F72"/>
          <w:sz w:val="32"/>
          <w:szCs w:val="32"/>
        </w:rPr>
        <w:t xml:space="preserve">6. Wow factors</w:t>
      </w:r>
    </w:p>
    <w:p>
      <w:pPr>
        <w:spacing w:after="100" w:line="300"/>
      </w:pPr>
      <w:r>
        <w:rPr>
          <w:rFonts w:ascii="Calibri" w:cs="Calibri" w:eastAsia="Calibri" w:hAnsi="Calibri"/>
          <w:sz w:val="22"/>
          <w:szCs w:val="22"/>
        </w:rPr>
        <w:t xml:space="preserve">Seven specific features that, if shipped well, change the conversation when someone sees the project. Each is achievable; some are very ambitious. Pick one or two and finish them properly rather than starting all of them.</w:t>
      </w:r>
    </w:p>
    <w:p>
      <w:pPr>
        <w:pStyle w:val="ListParagraph"/>
        <w:numPr>
          <w:ilvl w:val="0"/>
          <w:numId w:val="2"/>
        </w:numPr>
        <w:spacing w:after="60" w:line="280"/>
      </w:pPr>
      <w:r>
        <w:rPr>
          <w:rFonts w:ascii="Calibri" w:cs="Calibri" w:eastAsia="Calibri" w:hAnsi="Calibri"/>
          <w:b/>
          <w:bCs/>
          <w:sz w:val="22"/>
          <w:szCs w:val="22"/>
        </w:rPr>
        <w:t xml:space="preserve">1. Damp-and-mould risk model with explanation. </w:t>
      </w:r>
      <w:r>
        <w:rPr>
          <w:rFonts w:ascii="Calibri" w:cs="Calibri" w:eastAsia="Calibri" w:hAnsi="Calibri"/>
          <w:sz w:val="22"/>
          <w:szCs w:val="22"/>
        </w:rPr>
        <w:t xml:space="preserve">Not just a score — a panel that says "this property is High risk because: EPC F (–25), overcrowding 12% above ward average (–12), three damp-related complaints in 18 months (–20)". Domain credibility, glass-box modelling, and Awaab’s Law relevance in one feature.</w:t>
      </w:r>
    </w:p>
    <w:p>
      <w:pPr>
        <w:pStyle w:val="ListParagraph"/>
        <w:numPr>
          <w:ilvl w:val="0"/>
          <w:numId w:val="2"/>
        </w:numPr>
        <w:spacing w:after="60" w:line="280"/>
      </w:pPr>
      <w:r>
        <w:rPr>
          <w:rFonts w:ascii="Calibri" w:cs="Calibri" w:eastAsia="Calibri" w:hAnsi="Calibri"/>
          <w:b/>
          <w:bCs/>
          <w:sz w:val="22"/>
          <w:szCs w:val="22"/>
        </w:rPr>
        <w:t xml:space="preserve">2. Live-IoT digital twin. </w:t>
      </w:r>
      <w:r>
        <w:rPr>
          <w:rFonts w:ascii="Calibri" w:cs="Calibri" w:eastAsia="Calibri" w:hAnsi="Calibri"/>
          <w:sz w:val="22"/>
          <w:szCs w:val="22"/>
        </w:rPr>
        <w:t xml:space="preserve">Even simulated, a 3D viewer that shows real-time room temperature, humidity and CO₂ overlayed on the building geometry, with a 7-day playback slider, is the single most photogenic feature you can build. The existing PropertyViewer3D + a small WebSocket simulator is most of the work.</w:t>
      </w:r>
    </w:p>
    <w:p>
      <w:pPr>
        <w:pStyle w:val="ListParagraph"/>
        <w:numPr>
          <w:ilvl w:val="0"/>
          <w:numId w:val="2"/>
        </w:numPr>
        <w:spacing w:after="60" w:line="280"/>
      </w:pPr>
      <w:r>
        <w:rPr>
          <w:rFonts w:ascii="Calibri" w:cs="Calibri" w:eastAsia="Calibri" w:hAnsi="Calibri"/>
          <w:b/>
          <w:bCs/>
          <w:sz w:val="22"/>
          <w:szCs w:val="22"/>
        </w:rPr>
        <w:t xml:space="preserve">3. Climate-adapted portfolio. </w:t>
      </w:r>
      <w:r>
        <w:rPr>
          <w:rFonts w:ascii="Calibri" w:cs="Calibri" w:eastAsia="Calibri" w:hAnsi="Calibri"/>
          <w:sz w:val="22"/>
          <w:szCs w:val="22"/>
        </w:rPr>
        <w:t xml:space="preserve">UKCP18 projections + EA flood + IoD on one map; per-property climate-resilience score; a "by 2050, X% of your stock has Medium+ climate exposure" headline. Nobody else in the comparator list shows this in a single screen.</w:t>
      </w:r>
    </w:p>
    <w:p>
      <w:pPr>
        <w:pStyle w:val="ListParagraph"/>
        <w:numPr>
          <w:ilvl w:val="0"/>
          <w:numId w:val="2"/>
        </w:numPr>
        <w:spacing w:after="60" w:line="280"/>
      </w:pPr>
      <w:r>
        <w:rPr>
          <w:rFonts w:ascii="Calibri" w:cs="Calibri" w:eastAsia="Calibri" w:hAnsi="Calibri"/>
          <w:b/>
          <w:bCs/>
          <w:sz w:val="22"/>
          <w:szCs w:val="22"/>
        </w:rPr>
        <w:t xml:space="preserve">4. Awaab’s Law SLA cockpit. </w:t>
      </w:r>
      <w:r>
        <w:rPr>
          <w:rFonts w:ascii="Calibri" w:cs="Calibri" w:eastAsia="Calibri" w:hAnsi="Calibri"/>
          <w:sz w:val="22"/>
          <w:szCs w:val="22"/>
        </w:rPr>
        <w:t xml:space="preserve">A live status board showing every active damp-and-mould case with a countdown clock against the statutory SLA. Breaches escalated visually. Built on your existing complaints + properties + insights stack.</w:t>
      </w:r>
    </w:p>
    <w:p>
      <w:pPr>
        <w:pStyle w:val="ListParagraph"/>
        <w:numPr>
          <w:ilvl w:val="0"/>
          <w:numId w:val="2"/>
        </w:numPr>
        <w:spacing w:after="60" w:line="280"/>
      </w:pPr>
      <w:r>
        <w:rPr>
          <w:rFonts w:ascii="Calibri" w:cs="Calibri" w:eastAsia="Calibri" w:hAnsi="Calibri"/>
          <w:b/>
          <w:bCs/>
          <w:sz w:val="22"/>
          <w:szCs w:val="22"/>
        </w:rPr>
        <w:t xml:space="preserve">5. Voice-to-work-order. </w:t>
      </w:r>
      <w:r>
        <w:rPr>
          <w:rFonts w:ascii="Calibri" w:cs="Calibri" w:eastAsia="Calibri" w:hAnsi="Calibri"/>
          <w:sz w:val="22"/>
          <w:szCs w:val="22"/>
        </w:rPr>
        <w:t xml:space="preserve">A surveyor records a 30-second audio note on-site → Whisper transcription → Claude extracts: property UPRN, component, condition (1–5), action — and creates a maintenance_records row. Demoable, novel, and uses the API stack you already have.</w:t>
      </w:r>
    </w:p>
    <w:p>
      <w:pPr>
        <w:pStyle w:val="ListParagraph"/>
        <w:numPr>
          <w:ilvl w:val="0"/>
          <w:numId w:val="2"/>
        </w:numPr>
        <w:spacing w:after="60" w:line="280"/>
      </w:pPr>
      <w:r>
        <w:rPr>
          <w:rFonts w:ascii="Calibri" w:cs="Calibri" w:eastAsia="Calibri" w:hAnsi="Calibri"/>
          <w:b/>
          <w:bCs/>
          <w:sz w:val="22"/>
          <w:szCs w:val="22"/>
        </w:rPr>
        <w:t xml:space="preserve">6. "Ask the portfolio" chat. </w:t>
      </w:r>
      <w:r>
        <w:rPr>
          <w:rFonts w:ascii="Calibri" w:cs="Calibri" w:eastAsia="Calibri" w:hAnsi="Calibri"/>
          <w:sz w:val="22"/>
          <w:szCs w:val="22"/>
        </w:rPr>
        <w:t xml:space="preserve">Natural-language query box that produces a map answer plus a one-paragraph commentary, grounded in the actual SQL it ran (shown in a "How was this answered?" toggle). The provenance toggle is what makes it credible for housing managers.</w:t>
      </w:r>
    </w:p>
    <w:p>
      <w:pPr>
        <w:pStyle w:val="ListParagraph"/>
        <w:numPr>
          <w:ilvl w:val="0"/>
          <w:numId w:val="2"/>
        </w:numPr>
        <w:spacing w:after="60" w:line="280"/>
      </w:pPr>
      <w:r>
        <w:rPr>
          <w:rFonts w:ascii="Calibri" w:cs="Calibri" w:eastAsia="Calibri" w:hAnsi="Calibri"/>
          <w:b/>
          <w:bCs/>
          <w:sz w:val="22"/>
          <w:szCs w:val="22"/>
        </w:rPr>
        <w:t xml:space="preserve">7. Regulator-ready exports. </w:t>
      </w:r>
      <w:r>
        <w:rPr>
          <w:rFonts w:ascii="Calibri" w:cs="Calibri" w:eastAsia="Calibri" w:hAnsi="Calibri"/>
          <w:sz w:val="22"/>
          <w:szCs w:val="22"/>
        </w:rPr>
        <w:t xml:space="preserve">A single click that produces the RSH Tenant Satisfaction return CSV, an Annual Statistical Return template, and a TSM dashboard PDF. Mundane to build, but transformative for credibility — it shows you understand what housing organisations actually file.</w:t>
      </w:r>
    </w:p>
    <w:p>
      <w:pPr>
        <w:pStyle w:val="Heading1"/>
        <w:spacing w:after="160" w:before="360"/>
      </w:pPr>
      <w:r>
        <w:rPr>
          <w:rFonts w:ascii="Calibri" w:cs="Calibri" w:eastAsia="Calibri" w:hAnsi="Calibri"/>
          <w:b/>
          <w:bCs/>
          <w:color w:val="1B4F72"/>
          <w:sz w:val="32"/>
          <w:szCs w:val="32"/>
        </w:rPr>
        <w:t xml:space="preserve">7. Suggested 12-week roadmap</w:t>
      </w:r>
    </w:p>
    <w:p>
      <w:pPr>
        <w:spacing w:after="100" w:line="300"/>
      </w:pPr>
      <w:r>
        <w:rPr>
          <w:rFonts w:ascii="Calibri" w:cs="Calibri" w:eastAsia="Calibri" w:hAnsi="Calibri"/>
          <w:sz w:val="22"/>
          <w:szCs w:val="22"/>
        </w:rPr>
        <w:t xml:space="preserve">Sequenced for maximum compounding effect — domain credibility first, then refactor, then the hero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rPr>
          <w:tblHeader/>
        </w:trPr>
        <w:tc>
          <w:tcPr>
            <w:tcW w:type="dxa" w:w="13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pPr>
              <w:spacing w:after="0" w:line="260"/>
            </w:pPr>
            <w:r>
              <w:rPr>
                <w:rFonts w:ascii="Calibri" w:cs="Calibri" w:eastAsia="Calibri" w:hAnsi="Calibri"/>
                <w:b/>
                <w:bCs/>
                <w:color w:val="FFFFFF"/>
                <w:sz w:val="20"/>
                <w:szCs w:val="20"/>
              </w:rPr>
              <w:t xml:space="preserve">Weeks</w:t>
            </w:r>
          </w:p>
        </w:tc>
        <w:tc>
          <w:tcPr>
            <w:tcW w:type="dxa" w:w="2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pPr>
              <w:spacing w:after="0" w:line="260"/>
            </w:pPr>
            <w:r>
              <w:rPr>
                <w:rFonts w:ascii="Calibri" w:cs="Calibri" w:eastAsia="Calibri" w:hAnsi="Calibri"/>
                <w:b/>
                <w:bCs/>
                <w:color w:val="FFFFFF"/>
                <w:sz w:val="20"/>
                <w:szCs w:val="20"/>
              </w:rPr>
              <w:t xml:space="preserve">Theme</w:t>
            </w:r>
          </w:p>
        </w:tc>
        <w:tc>
          <w:tcPr>
            <w:tcW w:type="dxa" w:w="5326"/>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pPr>
              <w:spacing w:after="0" w:line="260"/>
            </w:pPr>
            <w:r>
              <w:rPr>
                <w:rFonts w:ascii="Calibri" w:cs="Calibri" w:eastAsia="Calibri" w:hAnsi="Calibri"/>
                <w:b/>
                <w:bCs/>
                <w:color w:val="FFFFFF"/>
                <w:sz w:val="20"/>
                <w:szCs w:val="20"/>
              </w:rPr>
              <w:t xml:space="preserve">Specific deliverables</w:t>
            </w:r>
          </w:p>
        </w:tc>
      </w:tr>
      <w:tr>
        <w:tc>
          <w:tcPr>
            <w:tcW w:type="dxa" w:w="13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1–2</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Domain credibility</w:t>
            </w:r>
          </w:p>
        </w:tc>
        <w:tc>
          <w:tcPr>
            <w:tcW w:type="dxa" w:w="5326"/>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sz w:val="20"/>
                <w:szCs w:val="20"/>
              </w:rPr>
              <w:t xml:space="preserve">Compliance dashboard (5 tiles), TSM dashboard (22 measures), Awaab’s Law caseload board.</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sz w:val="20"/>
                <w:szCs w:val="20"/>
              </w:rPr>
              <w:t xml:space="preserve">3–4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sz w:val="20"/>
                <w:szCs w:val="20"/>
              </w:rPr>
              <w:t xml:space="preserve">Damp &amp; mould</w:t>
            </w:r>
          </w:p>
        </w:tc>
        <w:tc>
          <w:tcPr>
            <w:tcW w:type="dxa" w:w="5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sz w:val="20"/>
                <w:szCs w:val="20"/>
              </w:rPr>
              <w:t xml:space="preserve">Risk score model with explanation panel; new Strategic Insight card; map heatmap layer; complaint-text classifier.</w:t>
            </w:r>
          </w:p>
        </w:tc>
      </w:tr>
      <w:tr>
        <w:tc>
          <w:tcPr>
            <w:tcW w:type="dxa" w:w="13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5–6</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Codebase hygiene</w:t>
            </w:r>
          </w:p>
        </w:tc>
        <w:tc>
          <w:tcPr>
            <w:tcW w:type="dxa" w:w="5326"/>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sz w:val="20"/>
                <w:szCs w:val="20"/>
              </w:rPr>
              <w:t xml:space="preserve">Split App.tsx into per-tab files, split analytics_service into one file per insight, delete dead Scenarios code, Alembic migrations, GitHub Actions CI with pytest + Vitest, /healthz endpoint.</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sz w:val="20"/>
                <w:szCs w:val="20"/>
              </w:rPr>
              <w:t xml:space="preserve">7–8</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sz w:val="20"/>
                <w:szCs w:val="20"/>
              </w:rPr>
              <w:t xml:space="preserve">Real data</w:t>
            </w:r>
          </w:p>
        </w:tc>
        <w:tc>
          <w:tcPr>
            <w:tcW w:type="dxa" w:w="5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sz w:val="20"/>
                <w:szCs w:val="20"/>
              </w:rPr>
              <w:t xml:space="preserve">Live EPC integration; real ONS Census 2021 LSOA download replacing synthetic; rolling 12-month crime aggregation.</w:t>
            </w:r>
          </w:p>
        </w:tc>
      </w:tr>
      <w:tr>
        <w:tc>
          <w:tcPr>
            <w:tcW w:type="dxa" w:w="13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9–10</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Wow feature</w:t>
            </w:r>
          </w:p>
        </w:tc>
        <w:tc>
          <w:tcPr>
            <w:tcW w:type="dxa" w:w="5326"/>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spacing w:after="0" w:line="260"/>
            </w:pPr>
            <w:r>
              <w:rPr>
                <w:rFonts w:ascii="Calibri" w:cs="Calibri" w:eastAsia="Calibri" w:hAnsi="Calibri"/>
                <w:sz w:val="20"/>
                <w:szCs w:val="20"/>
              </w:rPr>
              <w:t xml:space="preserve">IoT-style live overlay on the 3D twin (simulated), or the climate-adaptation map layer — pick one and finish it well.</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sz w:val="20"/>
                <w:szCs w:val="20"/>
              </w:rPr>
              <w:t xml:space="preserve">11–12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b/>
                <w:bCs/>
                <w:sz w:val="20"/>
                <w:szCs w:val="20"/>
              </w:rPr>
              <w:t xml:space="preserve">Polish &amp; narrative</w:t>
            </w:r>
          </w:p>
        </w:tc>
        <w:tc>
          <w:tcPr>
            <w:tcW w:type="dxa" w:w="5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Calibri" w:cs="Calibri" w:eastAsia="Calibri" w:hAnsi="Calibri"/>
                <w:sz w:val="20"/>
                <w:szCs w:val="20"/>
              </w:rPr>
              <w:t xml:space="preserve">Board-pack PDF report, "Ask the portfolio" chat with provenance toggle, project landing page / case study write-up, screen-recorded demo video.</w:t>
            </w:r>
          </w:p>
        </w:tc>
      </w:tr>
    </w:tbl>
    <w:p>
      <w:pPr>
        <w:pStyle w:val="Heading1"/>
        <w:spacing w:after="160" w:before="360"/>
      </w:pPr>
      <w:r>
        <w:rPr>
          <w:rFonts w:ascii="Calibri" w:cs="Calibri" w:eastAsia="Calibri" w:hAnsi="Calibri"/>
          <w:b/>
          <w:bCs/>
          <w:color w:val="1B4F72"/>
          <w:sz w:val="32"/>
          <w:szCs w:val="32"/>
        </w:rPr>
        <w:t xml:space="preserve">8. Closing thoughts</w:t>
      </w:r>
    </w:p>
    <w:p>
      <w:pPr>
        <w:spacing w:after="100" w:line="300"/>
      </w:pPr>
      <w:r>
        <w:rPr>
          <w:rFonts w:ascii="Calibri" w:cs="Calibri" w:eastAsia="Calibri" w:hAnsi="Calibri"/>
          <w:sz w:val="22"/>
          <w:szCs w:val="22"/>
        </w:rPr>
        <w:t xml:space="preserve">Your starting point is much stronger than you might think. The instinct to call this a "personal portfolio project" undersells where it actually is — a single substantive feature (damp-and-mould risk + Awaab’s Law cockpit) and a tidy refactor would land it credibly in front of anyone in housing tech, anyone hiring for a senior full-stack role, or any housing association considering a side-of-desk pilot.</w:t>
      </w:r>
    </w:p>
    <w:p>
      <w:pPr>
        <w:spacing w:after="100" w:line="300"/>
      </w:pPr>
      <w:r>
        <w:rPr>
          <w:rFonts w:ascii="Calibri" w:cs="Calibri" w:eastAsia="Calibri" w:hAnsi="Calibri"/>
          <w:sz w:val="22"/>
          <w:szCs w:val="22"/>
        </w:rPr>
        <w:t xml:space="preserve">The best two questions to keep asking as you go: "</w:t>
      </w:r>
      <w:r>
        <w:rPr>
          <w:rFonts w:ascii="Calibri" w:cs="Calibri" w:eastAsia="Calibri" w:hAnsi="Calibri"/>
          <w:i/>
          <w:iCs/>
          <w:sz w:val="22"/>
          <w:szCs w:val="22"/>
        </w:rPr>
        <w:t xml:space="preserve">would a housing manager glance at this and feel SHDT understands their job?</w:t>
      </w:r>
      <w:r>
        <w:rPr>
          <w:rFonts w:ascii="Calibri" w:cs="Calibri" w:eastAsia="Calibri" w:hAnsi="Calibri"/>
          <w:sz w:val="22"/>
          <w:szCs w:val="22"/>
        </w:rPr>
        <w:t xml:space="preserve">", and "</w:t>
      </w:r>
      <w:r>
        <w:rPr>
          <w:rFonts w:ascii="Calibri" w:cs="Calibri" w:eastAsia="Calibri" w:hAnsi="Calibri"/>
          <w:i/>
          <w:iCs/>
          <w:sz w:val="22"/>
          <w:szCs w:val="22"/>
        </w:rPr>
        <w:t xml:space="preserve">would a senior engineer reading this code want to work here?</w:t>
      </w:r>
      <w:r>
        <w:rPr>
          <w:rFonts w:ascii="Calibri" w:cs="Calibri" w:eastAsia="Calibri" w:hAnsi="Calibri"/>
          <w:sz w:val="22"/>
          <w:szCs w:val="22"/>
        </w:rPr>
        <w:t xml:space="preserve">". Most of the recommendations above are framed against those two tests.</w:t>
      </w:r>
    </w:p>
    <w:p>
      <w:pPr>
        <w:pStyle w:val="Heading1"/>
        <w:spacing w:after="160" w:before="360"/>
      </w:pPr>
      <w:r>
        <w:rPr>
          <w:rFonts w:ascii="Calibri" w:cs="Calibri" w:eastAsia="Calibri" w:hAnsi="Calibri"/>
          <w:b/>
          <w:bCs/>
          <w:color w:val="1B4F72"/>
          <w:sz w:val="32"/>
          <w:szCs w:val="32"/>
        </w:rPr>
        <w:t xml:space="preserve">Appendix A. Code-level observations</w:t>
      </w:r>
    </w:p>
    <w:p>
      <w:pPr>
        <w:spacing w:after="100" w:line="300"/>
      </w:pPr>
      <w:r>
        <w:rPr>
          <w:rFonts w:ascii="Calibri" w:cs="Calibri" w:eastAsia="Calibri" w:hAnsi="Calibri"/>
          <w:sz w:val="22"/>
          <w:szCs w:val="22"/>
        </w:rPr>
        <w:t xml:space="preserve">Sharper, code-grounded observations to take into the next refactor pass:</w:t>
      </w:r>
    </w:p>
    <w:p>
      <w:pPr>
        <w:pStyle w:val="ListParagraph"/>
        <w:numPr>
          <w:ilvl w:val="0"/>
          <w:numId w:val="2"/>
        </w:numPr>
        <w:spacing w:after="60" w:line="280"/>
      </w:pPr>
      <w:r>
        <w:rPr>
          <w:rFonts w:ascii="Calibri" w:cs="Calibri" w:eastAsia="Calibri" w:hAnsi="Calibri"/>
          <w:b/>
          <w:bCs/>
          <w:sz w:val="22"/>
          <w:szCs w:val="22"/>
        </w:rPr>
        <w:t xml:space="preserve">client/src/App.tsx — 4,100 lines. </w:t>
      </w:r>
      <w:r>
        <w:rPr>
          <w:rFonts w:ascii="Calibri" w:cs="Calibri" w:eastAsia="Calibri" w:hAnsi="Calibri"/>
          <w:sz w:val="22"/>
          <w:szCs w:val="22"/>
        </w:rPr>
        <w:t xml:space="preserve">Insights tabs activeTab states declared at line 1102; tab cases at lines 1226, 1331, 1464, 1584, 1717, 1843, 2016, 2273, 2402. Each block is a clean candidate for extraction into pages/insights/&lt;TabName&gt;.tsx.</w:t>
      </w:r>
    </w:p>
    <w:p>
      <w:pPr>
        <w:pStyle w:val="ListParagraph"/>
        <w:numPr>
          <w:ilvl w:val="0"/>
          <w:numId w:val="2"/>
        </w:numPr>
        <w:spacing w:after="60" w:line="280"/>
      </w:pPr>
      <w:r>
        <w:rPr>
          <w:rFonts w:ascii="Calibri" w:cs="Calibri" w:eastAsia="Calibri" w:hAnsi="Calibri"/>
          <w:b/>
          <w:bCs/>
          <w:sz w:val="22"/>
          <w:szCs w:val="22"/>
        </w:rPr>
        <w:t xml:space="preserve">server/services/analytics_service.py — 1,603 lines. </w:t>
      </w:r>
      <w:r>
        <w:rPr>
          <w:rFonts w:ascii="Calibri" w:cs="Calibri" w:eastAsia="Calibri" w:hAnsi="Calibri"/>
          <w:sz w:val="22"/>
          <w:szCs w:val="22"/>
        </w:rPr>
        <w:t xml:space="preserve">get_strategic_insights starts at line 1093 and runs to ~1601. Each insight inside it is a candidate for one file per insight under services/insights/, with a registry that the router walks.</w:t>
      </w:r>
    </w:p>
    <w:p>
      <w:pPr>
        <w:pStyle w:val="ListParagraph"/>
        <w:numPr>
          <w:ilvl w:val="0"/>
          <w:numId w:val="2"/>
        </w:numPr>
        <w:spacing w:after="60" w:line="280"/>
      </w:pPr>
      <w:r>
        <w:rPr>
          <w:rFonts w:ascii="Calibri" w:cs="Calibri" w:eastAsia="Calibri" w:hAnsi="Calibri"/>
          <w:b/>
          <w:bCs/>
          <w:sz w:val="22"/>
          <w:szCs w:val="22"/>
        </w:rPr>
        <w:t xml:space="preserve">server/services/enrichment/monitor.py imports app.models. </w:t>
      </w:r>
      <w:r>
        <w:rPr>
          <w:rFonts w:ascii="Calibri" w:cs="Calibri" w:eastAsia="Calibri" w:hAnsi="Calibri"/>
          <w:sz w:val="22"/>
          <w:szCs w:val="22"/>
        </w:rPr>
        <w:t xml:space="preserve">No app/ package exists in the server. Either delete this file or rewrite it to use the same SQLAlchemy text() pattern the rest of the project uses.</w:t>
      </w:r>
    </w:p>
    <w:p>
      <w:pPr>
        <w:pStyle w:val="ListParagraph"/>
        <w:numPr>
          <w:ilvl w:val="0"/>
          <w:numId w:val="2"/>
        </w:numPr>
        <w:spacing w:after="60" w:line="280"/>
      </w:pPr>
      <w:r>
        <w:rPr>
          <w:rFonts w:ascii="Calibri" w:cs="Calibri" w:eastAsia="Calibri" w:hAnsi="Calibri"/>
          <w:b/>
          <w:bCs/>
          <w:sz w:val="22"/>
          <w:szCs w:val="22"/>
        </w:rPr>
        <w:t xml:space="preserve">database/migrations/004_enrichment.sql and 004_enrichment_fixed.sql. </w:t>
      </w:r>
      <w:r>
        <w:rPr>
          <w:rFonts w:ascii="Calibri" w:cs="Calibri" w:eastAsia="Calibri" w:hAnsi="Calibri"/>
          <w:sz w:val="22"/>
          <w:szCs w:val="22"/>
        </w:rPr>
        <w:t xml:space="preserve">Two files, same number. Pick the one that ran, archive the other, switch to Alembic so this category of confusion stops recurring.</w:t>
      </w:r>
    </w:p>
    <w:p>
      <w:pPr>
        <w:pStyle w:val="ListParagraph"/>
        <w:numPr>
          <w:ilvl w:val="0"/>
          <w:numId w:val="2"/>
        </w:numPr>
        <w:spacing w:after="60" w:line="280"/>
      </w:pPr>
      <w:r>
        <w:rPr>
          <w:rFonts w:ascii="Calibri" w:cs="Calibri" w:eastAsia="Calibri" w:hAnsi="Calibri"/>
          <w:b/>
          <w:bCs/>
          <w:sz w:val="22"/>
          <w:szCs w:val="22"/>
        </w:rPr>
        <w:t xml:space="preserve">server/routers/scenarios.py + client/src/pages/ScenarioPlanner.tsx still present. </w:t>
      </w:r>
      <w:r>
        <w:rPr>
          <w:rFonts w:ascii="Calibri" w:cs="Calibri" w:eastAsia="Calibri" w:hAnsi="Calibri"/>
          <w:sz w:val="22"/>
          <w:szCs w:val="22"/>
        </w:rPr>
        <w:t xml:space="preserve">Transition doc says removed; code says otherwise. Either reinstate Scenarios deliberately (it has real merit — see the cost-tier intervention catalogue in services/digital_twin/scenario_engine.py) or delete the dead code path.</w:t>
      </w:r>
    </w:p>
    <w:p>
      <w:pPr>
        <w:pStyle w:val="ListParagraph"/>
        <w:numPr>
          <w:ilvl w:val="0"/>
          <w:numId w:val="2"/>
        </w:numPr>
        <w:spacing w:after="60" w:line="280"/>
      </w:pPr>
      <w:r>
        <w:rPr>
          <w:rFonts w:ascii="Calibri" w:cs="Calibri" w:eastAsia="Calibri" w:hAnsi="Calibri"/>
          <w:b/>
          <w:bCs/>
          <w:sz w:val="22"/>
          <w:szCs w:val="22"/>
        </w:rPr>
        <w:t xml:space="preserve">server/routers/notifications.py — 25 endpoints. </w:t>
      </w:r>
      <w:r>
        <w:rPr>
          <w:rFonts w:ascii="Calibri" w:cs="Calibri" w:eastAsia="Calibri" w:hAnsi="Calibri"/>
          <w:sz w:val="22"/>
          <w:szCs w:val="22"/>
        </w:rPr>
        <w:t xml:space="preserve">Likely overscoped relative to current usage. Worth reviewing what is actually called from the frontend; trim the rest.</w:t>
      </w:r>
    </w:p>
    <w:p>
      <w:pPr>
        <w:pStyle w:val="ListParagraph"/>
        <w:numPr>
          <w:ilvl w:val="0"/>
          <w:numId w:val="2"/>
        </w:numPr>
        <w:spacing w:after="60" w:line="280"/>
      </w:pPr>
      <w:r>
        <w:rPr>
          <w:rFonts w:ascii="Calibri" w:cs="Calibri" w:eastAsia="Calibri" w:hAnsi="Calibri"/>
          <w:b/>
          <w:bCs/>
          <w:sz w:val="22"/>
          <w:szCs w:val="22"/>
        </w:rPr>
        <w:t xml:space="preserve">server/database.py QueuePool config. </w:t>
      </w:r>
      <w:r>
        <w:rPr>
          <w:rFonts w:ascii="Calibri" w:cs="Calibri" w:eastAsia="Calibri" w:hAnsi="Calibri"/>
          <w:sz w:val="22"/>
          <w:szCs w:val="22"/>
        </w:rPr>
        <w:t xml:space="preserve">pool_size=10, max_overflow=20, pool_recycle=300s — the recycle is short. If you ever move the DB off localhost, expect to extend this to ~1800s.</w:t>
      </w:r>
    </w:p>
    <w:p>
      <w:pPr>
        <w:pStyle w:val="ListParagraph"/>
        <w:numPr>
          <w:ilvl w:val="0"/>
          <w:numId w:val="2"/>
        </w:numPr>
        <w:spacing w:after="60" w:line="280"/>
      </w:pPr>
      <w:r>
        <w:rPr>
          <w:rFonts w:ascii="Calibri" w:cs="Calibri" w:eastAsia="Calibri" w:hAnsi="Calibri"/>
          <w:b/>
          <w:bCs/>
          <w:sz w:val="22"/>
          <w:szCs w:val="22"/>
        </w:rPr>
        <w:t xml:space="preserve">Address-to-property matching at 85.6%. </w:t>
      </w:r>
      <w:r>
        <w:rPr>
          <w:rFonts w:ascii="Calibri" w:cs="Calibri" w:eastAsia="Calibri" w:hAnsi="Calibri"/>
          <w:sz w:val="22"/>
          <w:szCs w:val="22"/>
        </w:rPr>
        <w:t xml:space="preserve">The "first comma split" heuristic is fine as a first pass; UPRN-resolved matching using the AddressBase / OS Open UPRN data you already cache will push this above 95%.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SHDT — Project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874A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SHDT Project Review</dc:title>
  <dc:creator>Claude (Opus 4.7) for Sean O’Connor</dc:creator>
  <dc:description>Independent review and roadmap for the Social Housing Digital Twin project</dc:description>
  <cp:lastModifiedBy>Un-named</cp:lastModifiedBy>
  <cp:revision>1</cp:revision>
  <dcterms:created xsi:type="dcterms:W3CDTF">2026-04-29T14:34:48.547Z</dcterms:created>
  <dcterms:modified xsi:type="dcterms:W3CDTF">2026-04-29T14:34:48.547Z</dcterms:modified>
</cp:coreProperties>
</file>

<file path=docProps/custom.xml><?xml version="1.0" encoding="utf-8"?>
<Properties xmlns="http://schemas.openxmlformats.org/officeDocument/2006/custom-properties" xmlns:vt="http://schemas.openxmlformats.org/officeDocument/2006/docPropsVTypes"/>
</file>