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Calibri" w:cs="Calibri" w:eastAsia="Calibri" w:hAnsi="Calibri"/>
          <w:b/>
          <w:bCs/>
          <w:color w:val="1B4F72"/>
          <w:sz w:val="44"/>
          <w:szCs w:val="44"/>
        </w:rPr>
        <w:t xml:space="preserve">BUSINESS CASE &amp; FINANCIAL PROJECTION</w:t>
      </w:r>
    </w:p>
    <w:p>
      <w:pPr>
        <w:spacing w:before="240" w:after="120"/>
        <w:jc w:val="center"/>
      </w:pPr>
      <w:r>
        <w:rPr>
          <w:rFonts w:ascii="Calibri" w:cs="Calibri" w:eastAsia="Calibri" w:hAnsi="Calibri"/>
          <w:b/>
          <w:bCs/>
          <w:color w:val="D4AF37"/>
          <w:sz w:val="32"/>
          <w:szCs w:val="32"/>
        </w:rPr>
        <w:t xml:space="preserve">THE AMBASSADOR METHOD™</w:t>
      </w:r>
    </w:p>
    <w:p>
      <w:pPr>
        <w:spacing w:before="60"/>
        <w:jc w:val="center"/>
      </w:pPr>
      <w:r>
        <w:rPr>
          <w:rFonts w:ascii="Calibri" w:cs="Calibri" w:eastAsia="Calibri" w:hAnsi="Calibri"/>
          <w:i/>
          <w:iCs/>
          <w:color w:val="5B9BD5"/>
          <w:sz w:val="24"/>
          <w:szCs w:val="24"/>
        </w:rPr>
        <w:t xml:space="preserve">Neuro-Hospitality &amp; Revenue Engineering</w:t>
      </w:r>
    </w:p>
    <w:p>
      <w:pPr>
        <w:spacing w:before="1440"/>
        <w:jc w:val="center"/>
      </w:pPr>
      <w:r>
        <w:rPr>
          <w:rFonts w:ascii="Calibri" w:cs="Calibri" w:eastAsia="Calibri" w:hAnsi="Calibri"/>
          <w:color w:val="7F7F7F"/>
          <w:sz w:val="20"/>
          <w:szCs w:val="20"/>
        </w:rPr>
        <w:t xml:space="preserve">Documento Riservato</w:t>
      </w:r>
    </w:p>
    <w:p>
      <w:pPr>
        <w:spacing w:before="120"/>
        <w:jc w:val="center"/>
      </w:pPr>
      <w:r>
        <w:rPr>
          <w:rFonts w:ascii="Calibri" w:cs="Calibri" w:eastAsia="Calibri" w:hAnsi="Calibri"/>
          <w:color w:val="7F7F7F"/>
          <w:sz w:val="20"/>
          <w:szCs w:val="20"/>
        </w:rPr>
        <w:t xml:space="preserve">Febbraio 2026</w:t>
      </w:r>
    </w:p>
    <w:p>
      <w:pPr>
        <w:spacing w:before="960"/>
        <w:jc w:val="center"/>
      </w:pPr>
      <w:r>
        <w:rPr>
          <w:rFonts w:ascii="Calibri" w:cs="Calibri" w:eastAsia="Calibri" w:hAnsi="Calibri"/>
          <w:b/>
          <w:bCs/>
          <w:sz w:val="22"/>
          <w:szCs w:val="22"/>
        </w:rPr>
        <w:t xml:space="preserve">Raffaele D'Urso</w:t>
      </w:r>
    </w:p>
    <w:p>
      <w:pPr>
        <w:spacing w:before="60"/>
        <w:jc w:val="center"/>
      </w:pPr>
      <w:r>
        <w:rPr>
          <w:rFonts w:ascii="Calibri" w:cs="Calibri" w:eastAsia="Calibri" w:hAnsi="Calibri"/>
          <w:i/>
          <w:iCs/>
          <w:sz w:val="20"/>
          <w:szCs w:val="20"/>
        </w:rPr>
        <w:t xml:space="preserve">Founder &amp; Head of Strategy</w:t>
      </w:r>
    </w:p>
    <w:p>
      <w:r>
        <w:br w:type="page"/>
      </w:r>
    </w:p>
    <w:p>
      <w:pPr>
        <w:pStyle w:val="Heading1"/>
      </w:pPr>
      <w:r>
        <w:t xml:space="preserve">1. EXECUTIVE SUMMARY</w:t>
      </w:r>
    </w:p>
    <w:p>
      <w:pPr>
        <w:spacing w:before="240" w:after="240"/>
        <w:jc w:val="both"/>
      </w:pPr>
      <w:r>
        <w:rPr>
          <w:sz w:val="22"/>
          <w:szCs w:val="22"/>
        </w:rPr>
        <w:t xml:space="preserve">L'ospitalità di lusso tradizionale si basa sulla cortesia soggettiva. The Ambassador Method™ sposta il paradigma verso l'</w:t>
      </w:r>
      <w:r>
        <w:rPr>
          <w:b/>
          <w:bCs/>
          <w:color w:val="2E75B6"/>
          <w:sz w:val="22"/>
          <w:szCs w:val="22"/>
        </w:rPr>
        <w:t xml:space="preserve">Ingegneria del Servizio</w:t>
      </w:r>
      <w:r>
        <w:rPr>
          <w:sz w:val="22"/>
          <w:szCs w:val="22"/>
        </w:rPr>
        <w:t xml:space="preserve">. Attraverso l'applicazione di protocolli neuroscientifici e l'analisi dei dati, trasformiamo il reparto F&amp;B da centro di costo a centro di profitto ottimizzato.</w:t>
      </w:r>
    </w:p>
    <w:p>
      <w:pPr>
        <w:spacing w:after="240"/>
        <w:jc w:val="both"/>
      </w:pPr>
      <w:r>
        <w:rPr>
          <w:sz w:val="22"/>
          <w:szCs w:val="22"/>
        </w:rPr>
        <w:t xml:space="preserve">Questo documento delinea il ritorno sull'investimento (ROI) previsto derivante dall'implementazione del metodo, focalizzandosi su quattro leve finanziarie strategiche:</w:t>
      </w:r>
    </w:p>
    <w:p>
      <w:pPr>
        <w:pStyle w:val="ListParagraph"/>
        <w:numPr>
          <w:ilvl w:val="0"/>
          <w:numId w:val="2"/>
        </w:numPr>
        <w:spacing w:after="120"/>
      </w:pPr>
      <w:r>
        <w:rPr>
          <w:b/>
          <w:bCs/>
          <w:sz w:val="22"/>
          <w:szCs w:val="22"/>
        </w:rPr>
        <w:t xml:space="preserve">Ottimizzazione dei Ricavi (RevPASH)</w:t>
      </w:r>
    </w:p>
    <w:p>
      <w:pPr>
        <w:pStyle w:val="ListParagraph"/>
        <w:numPr>
          <w:ilvl w:val="0"/>
          <w:numId w:val="2"/>
        </w:numPr>
        <w:spacing w:after="120"/>
      </w:pPr>
      <w:r>
        <w:rPr>
          <w:b/>
          <w:bCs/>
          <w:sz w:val="22"/>
          <w:szCs w:val="22"/>
        </w:rPr>
        <w:t xml:space="preserve">Marginalità (Cost Control)</w:t>
      </w:r>
    </w:p>
    <w:p>
      <w:pPr>
        <w:pStyle w:val="ListParagraph"/>
        <w:numPr>
          <w:ilvl w:val="0"/>
          <w:numId w:val="2"/>
        </w:numPr>
        <w:spacing w:after="120"/>
      </w:pPr>
      <w:r>
        <w:rPr>
          <w:b/>
          <w:bCs/>
          <w:sz w:val="22"/>
          <w:szCs w:val="22"/>
        </w:rPr>
        <w:t xml:space="preserve">Upselling Etico</w:t>
      </w:r>
    </w:p>
    <w:p>
      <w:pPr>
        <w:pStyle w:val="ListParagraph"/>
        <w:numPr>
          <w:ilvl w:val="0"/>
          <w:numId w:val="2"/>
        </w:numPr>
        <w:spacing w:after="360"/>
      </w:pPr>
      <w:r>
        <w:rPr>
          <w:b/>
          <w:bCs/>
          <w:sz w:val="22"/>
          <w:szCs w:val="22"/>
        </w:rPr>
        <w:t xml:space="preserve">Retention del Capitale 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5FB" w:val="clear"/>
            <w:tcMar>
              <w:top w:type="dxa" w:w="200"/>
              <w:left w:type="dxa" w:w="200"/>
              <w:bottom w:type="dxa" w:w="200"/>
              <w:right w:type="dxa" w:w="200"/>
            </w:tcMar>
          </w:tcPr>
          <w:p>
            <w:pPr>
              <w:spacing w:after="120"/>
              <w:jc w:val="center"/>
            </w:pPr>
            <w:r>
              <w:rPr>
                <w:b/>
                <w:bCs/>
                <w:color w:val="1B4F72"/>
                <w:sz w:val="26"/>
                <w:szCs w:val="26"/>
              </w:rPr>
              <w:t xml:space="preserve">IMPATTO ECONOMICO TOTALE STIMATO</w:t>
            </w:r>
          </w:p>
          <w:p>
            <w:pPr>
              <w:jc w:val="center"/>
            </w:pPr>
            <w:r>
              <w:rPr>
                <w:b/>
                <w:bCs/>
                <w:color w:val="D4AF37"/>
                <w:sz w:val="48"/>
                <w:szCs w:val="48"/>
              </w:rPr>
              <w:t xml:space="preserve">€ 142.000</w:t>
            </w:r>
          </w:p>
          <w:p>
            <w:pPr>
              <w:spacing w:before="60"/>
              <w:jc w:val="center"/>
            </w:pPr>
            <w:r>
              <w:rPr>
                <w:i/>
                <w:iCs/>
                <w:color w:val="5B9BD5"/>
                <w:sz w:val="20"/>
                <w:szCs w:val="20"/>
              </w:rPr>
              <w:t xml:space="preserve">di beneficio annuo incrementale</w:t>
            </w:r>
          </w:p>
        </w:tc>
      </w:tr>
    </w:tbl>
    <w:p>
      <w:pPr>
        <w:spacing w:before="360"/>
      </w:pPr>
      <w:r>
        <w:br w:type="page"/>
      </w:r>
    </w:p>
    <w:p>
      <w:pPr>
        <w:pStyle w:val="Heading1"/>
      </w:pPr>
      <w:r>
        <w:t xml:space="preserve">2. ANALISI DELL'IMPATTO ECONOMICO (ROI BREAKDOWN)</w:t>
      </w:r>
    </w:p>
    <w:p>
      <w:pPr>
        <w:pStyle w:val="Heading2"/>
        <w:spacing w:before="360"/>
      </w:pPr>
      <w:r>
        <w:t xml:space="preserve">A. INCREMENTO DELLO SCONTRINO MEDIO (APC)</w:t>
      </w:r>
    </w:p>
    <w:p>
      <w:pPr>
        <w:spacing w:before="240" w:after="240"/>
        <w:jc w:val="both"/>
      </w:pPr>
      <w:r>
        <w:rPr>
          <w:sz w:val="22"/>
          <w:szCs w:val="22"/>
        </w:rPr>
        <w:t xml:space="preserve">L'applicazione di tecniche di Neuro-Linguistica e Suggestive Selling (es. </w:t>
      </w:r>
      <w:r>
        <w:rPr>
          <w:i/>
          <w:iCs/>
          <w:color w:val="2E75B6"/>
          <w:sz w:val="22"/>
          <w:szCs w:val="22"/>
        </w:rPr>
        <w:t xml:space="preserve">Sullivan Nod, Double Bind</w:t>
      </w:r>
      <w:r>
        <w:rPr>
          <w:sz w:val="22"/>
          <w:szCs w:val="22"/>
        </w:rPr>
        <w:t xml:space="preserve">) trasforma il personale di sala da portatori d'ordine a venditori consulenziali.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75B6" w:val="clear"/>
            <w:tcMar>
              <w:top w:type="dxa" w:w="120"/>
              <w:left w:type="dxa" w:w="160"/>
              <w:bottom w:type="dxa" w:w="120"/>
              <w:right w:type="dxa" w:w="160"/>
            </w:tcMar>
          </w:tcPr>
          <w:p>
            <w:pPr>
              <w:jc w:val="center"/>
            </w:pPr>
            <w:r>
              <w:rPr>
                <w:b/>
                <w:bCs/>
                <w:color w:val="FFFFFF"/>
                <w:sz w:val="22"/>
                <w:szCs w:val="22"/>
              </w:rPr>
              <w:t xml:space="preserve">METRICA</w:t>
            </w:r>
          </w:p>
        </w:tc>
        <w:tc>
          <w:tcPr>
            <w:tcW w:type="dxa" w:w="4680"/>
            <w:tcBorders>
              <w:top w:val="single" w:color="FFFFFF" w:sz="1"/>
              <w:left w:val="single" w:color="FFFFFF" w:sz="1"/>
              <w:bottom w:val="single" w:color="FFFFFF" w:sz="1"/>
              <w:right w:val="single" w:color="FFFFFF" w:sz="1"/>
            </w:tcBorders>
            <w:shd w:fill="2E75B6" w:val="clear"/>
            <w:tcMar>
              <w:top w:type="dxa" w:w="120"/>
              <w:left w:type="dxa" w:w="160"/>
              <w:bottom w:type="dxa" w:w="120"/>
              <w:right w:type="dxa" w:w="160"/>
            </w:tcMar>
          </w:tcPr>
          <w:p>
            <w:pPr>
              <w:jc w:val="center"/>
            </w:pPr>
            <w:r>
              <w:rPr>
                <w:b/>
                <w:bCs/>
                <w:color w:val="FFFFFF"/>
                <w:sz w:val="22"/>
                <w:szCs w:val="22"/>
              </w:rPr>
              <w:t xml:space="preserve">VALORE</w:t>
            </w:r>
          </w:p>
        </w:tc>
      </w:tr>
      <w:tr>
        <w:tc>
          <w:tcPr>
            <w:tcW w:type="dxa" w:w="4680"/>
            <w:tcBorders>
              <w:top w:val="single" w:color="E0E0E0" w:sz="1"/>
              <w:left w:val="single" w:color="E0E0E0" w:sz="1"/>
              <w:bottom w:val="single" w:color="E0E0E0" w:sz="1"/>
              <w:right w:val="single" w:color="E0E0E0" w:sz="1"/>
            </w:tcBorders>
            <w:shd w:fill="F8F9FA" w:val="clear"/>
            <w:tcMar>
              <w:top w:type="dxa" w:w="100"/>
              <w:left w:type="dxa" w:w="160"/>
              <w:bottom w:type="dxa" w:w="100"/>
              <w:right w:type="dxa" w:w="160"/>
            </w:tcMar>
          </w:tcPr>
          <w:p>
            <w:r>
              <w:rPr>
                <w:sz w:val="22"/>
                <w:szCs w:val="22"/>
              </w:rPr>
              <w:t xml:space="preserve">Scenario Attuale (Baseline)</w:t>
            </w:r>
          </w:p>
        </w:tc>
        <w:tc>
          <w:tcPr>
            <w:tcW w:type="dxa" w:w="4680"/>
            <w:tcBorders>
              <w:top w:val="single" w:color="E0E0E0" w:sz="1"/>
              <w:left w:val="single" w:color="E0E0E0" w:sz="1"/>
              <w:bottom w:val="single" w:color="E0E0E0" w:sz="1"/>
              <w:right w:val="single" w:color="E0E0E0" w:sz="1"/>
            </w:tcBorders>
            <w:shd w:fill="F8F9FA" w:val="clear"/>
            <w:tcMar>
              <w:top w:type="dxa" w:w="100"/>
              <w:left w:type="dxa" w:w="160"/>
              <w:bottom w:type="dxa" w:w="100"/>
              <w:right w:type="dxa" w:w="160"/>
            </w:tcMar>
          </w:tcPr>
          <w:p>
            <w:r>
              <w:rPr>
                <w:b/>
                <w:bCs/>
                <w:sz w:val="22"/>
                <w:szCs w:val="22"/>
              </w:rPr>
              <w:t xml:space="preserve">10.000 coperti × € 85,00 = € 850.000</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color w:val="2E75B6"/>
                <w:sz w:val="22"/>
                <w:szCs w:val="22"/>
              </w:rPr>
              <w:t xml:space="preserve">Obiettivo Ambassador (+12%)</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b/>
                <w:bCs/>
                <w:color w:val="2E75B6"/>
                <w:sz w:val="22"/>
                <w:szCs w:val="22"/>
              </w:rPr>
              <w:t xml:space="preserve">€ 9,60 incremento × 10.000 coperti</w:t>
            </w:r>
          </w:p>
        </w:tc>
      </w:tr>
      <w:tr>
        <w:tc>
          <w:tcPr>
            <w:tcW w:type="dxa" w:w="4680"/>
            <w:tcBorders>
              <w:top w:val="single" w:color="27AE60" w:sz="2"/>
              <w:left w:val="single" w:color="27AE60" w:sz="2"/>
              <w:bottom w:val="single" w:color="27AE60" w:sz="2"/>
              <w:right w:val="single" w:color="27AE60" w:sz="2"/>
            </w:tcBorders>
            <w:shd w:fill="D5F5E3" w:val="clear"/>
            <w:tcMar>
              <w:top w:type="dxa" w:w="120"/>
              <w:left w:type="dxa" w:w="160"/>
              <w:bottom w:type="dxa" w:w="120"/>
              <w:right w:type="dxa" w:w="160"/>
            </w:tcMar>
          </w:tcPr>
          <w:p>
            <w:pPr>
              <w:jc w:val="right"/>
            </w:pPr>
            <w:r>
              <w:rPr>
                <w:b/>
                <w:bCs/>
                <w:sz w:val="22"/>
                <w:szCs w:val="22"/>
              </w:rPr>
              <w:t xml:space="preserve">Impatto Finanziario:</w:t>
            </w:r>
          </w:p>
        </w:tc>
        <w:tc>
          <w:tcPr>
            <w:tcW w:type="dxa" w:w="4680"/>
            <w:tcBorders>
              <w:top w:val="single" w:color="27AE60" w:sz="2"/>
              <w:left w:val="single" w:color="27AE60" w:sz="2"/>
              <w:bottom w:val="single" w:color="27AE60" w:sz="2"/>
              <w:right w:val="single" w:color="27AE60" w:sz="2"/>
            </w:tcBorders>
            <w:shd w:fill="D5F5E3" w:val="clear"/>
            <w:tcMar>
              <w:top w:type="dxa" w:w="120"/>
              <w:left w:type="dxa" w:w="160"/>
              <w:bottom w:type="dxa" w:w="120"/>
              <w:right w:type="dxa" w:w="160"/>
            </w:tcMar>
          </w:tcPr>
          <w:p>
            <w:r>
              <w:rPr>
                <w:b/>
                <w:bCs/>
                <w:color w:val="27AE60"/>
                <w:sz w:val="24"/>
                <w:szCs w:val="24"/>
              </w:rPr>
              <w:t xml:space="preserve">+ € 96.000 / anno</w:t>
            </w:r>
          </w:p>
        </w:tc>
      </w:tr>
    </w:tbl>
    <w:p>
      <w:pPr>
        <w:pStyle w:val="Heading2"/>
        <w:spacing w:before="480"/>
      </w:pPr>
      <w:r>
        <w:t xml:space="preserve">B. OTTIMIZZAZIONE DEL RevPASH</w:t>
      </w:r>
    </w:p>
    <w:p>
      <w:pPr>
        <w:spacing w:before="120" w:after="120"/>
        <w:jc w:val="both"/>
      </w:pPr>
      <w:r>
        <w:rPr>
          <w:i/>
          <w:iCs/>
          <w:color w:val="7F7F7F"/>
          <w:sz w:val="22"/>
          <w:szCs w:val="22"/>
        </w:rPr>
        <w:t xml:space="preserve">Revenue Per Available Seat Hour</w:t>
      </w:r>
    </w:p>
    <w:p>
      <w:pPr>
        <w:spacing w:before="240" w:after="240"/>
        <w:jc w:val="both"/>
      </w:pPr>
      <w:r>
        <w:rPr>
          <w:sz w:val="22"/>
          <w:szCs w:val="22"/>
        </w:rPr>
        <w:t xml:space="preserve">Gestione scientifica dei tempi di occupazione del tavolo e dei "tempi morti" (OOS - Out of Sight) per massimizzare la rotazione nelle ore di punta senza intaccare l'esperienza dell'ospite.</w:t>
      </w:r>
    </w:p>
    <w:p>
      <w:pPr>
        <w:spacing w:after="120"/>
      </w:pPr>
      <w:r>
        <w:rPr>
          <w:b/>
          <w:bCs/>
          <w:color w:val="E74C3C"/>
          <w:sz w:val="22"/>
          <w:szCs w:val="22"/>
        </w:rPr>
        <w:t xml:space="preserve">Problema: </w:t>
      </w:r>
      <w:r>
        <w:rPr>
          <w:sz w:val="22"/>
          <w:szCs w:val="22"/>
        </w:rPr>
        <w:t xml:space="preserve">Tavoli bloccati per inefficienza operativa nelle fasce 20:30 - 21:30.</w:t>
      </w:r>
    </w:p>
    <w:p>
      <w:pPr>
        <w:spacing w:after="120"/>
      </w:pPr>
      <w:r>
        <w:rPr>
          <w:b/>
          <w:bCs/>
          <w:color w:val="27AE60"/>
          <w:sz w:val="22"/>
          <w:szCs w:val="22"/>
        </w:rPr>
        <w:t xml:space="preserve">Soluzione: </w:t>
      </w:r>
      <w:r>
        <w:rPr>
          <w:sz w:val="22"/>
          <w:szCs w:val="22"/>
        </w:rPr>
        <w:t xml:space="preserve">Protocollo Timed Service Flow e gestione proattiva delle prenotazioni.</w:t>
      </w:r>
    </w:p>
    <w:p>
      <w:pPr>
        <w:spacing w:before="240" w:after="240"/>
      </w:pPr>
      <w:r>
        <w:rPr>
          <w:b/>
          <w:bCs/>
          <w:sz w:val="22"/>
          <w:szCs w:val="22"/>
        </w:rPr>
        <w:t xml:space="preserve">Impatto Finanziario: </w:t>
      </w:r>
      <w:r>
        <w:rPr>
          <w:sz w:val="22"/>
          <w:szCs w:val="22"/>
        </w:rPr>
        <w:t xml:space="preserve">Recupero di 1 rotazione tavolo (2 pax) per 100 serate di alta affluenza = </w:t>
      </w:r>
      <w:r>
        <w:rPr>
          <w:b/>
          <w:bCs/>
          <w:color w:val="27AE60"/>
          <w:sz w:val="24"/>
          <w:szCs w:val="24"/>
        </w:rPr>
        <w:t xml:space="preserve">+ € 25.000 / anno</w:t>
      </w:r>
    </w:p>
    <w:p>
      <w:pPr>
        <w:pStyle w:val="Heading2"/>
        <w:spacing w:before="480"/>
      </w:pPr>
      <w:r>
        <w:t xml:space="preserve">C. NEURO-MENU ENGINEERING (MARGINALITÀ)</w:t>
      </w:r>
    </w:p>
    <w:p>
      <w:pPr>
        <w:spacing w:before="240" w:after="240"/>
        <w:jc w:val="both"/>
      </w:pPr>
      <w:r>
        <w:rPr>
          <w:sz w:val="22"/>
          <w:szCs w:val="22"/>
        </w:rPr>
        <w:t xml:space="preserve">Riprogettazione della carta basata sulla psicologia cognitiva (</w:t>
      </w:r>
      <w:r>
        <w:rPr>
          <w:i/>
          <w:iCs/>
          <w:color w:val="2E75B6"/>
          <w:sz w:val="22"/>
          <w:szCs w:val="22"/>
        </w:rPr>
        <w:t xml:space="preserve">F-Pattern, Decoy Effect, Price Anchoring</w:t>
      </w:r>
      <w:r>
        <w:rPr>
          <w:sz w:val="22"/>
          <w:szCs w:val="22"/>
        </w:rPr>
        <w:t xml:space="preserve">) per spostare il mix di vendita verso i piatti a più alto margine di contribuzione (</w:t>
      </w:r>
      <w:r>
        <w:rPr>
          <w:b/>
          <w:bCs/>
          <w:color w:val="D4AF37"/>
          <w:sz w:val="22"/>
          <w:szCs w:val="22"/>
        </w:rPr>
        <w:t xml:space="preserve">Stars</w:t>
      </w:r>
      <w:r>
        <w:rPr>
          <w:sz w:val="22"/>
          <w:szCs w:val="22"/>
        </w:rPr>
        <w:t xml:space="preserve">).</w:t>
      </w:r>
    </w:p>
    <w:p>
      <w:pPr>
        <w:spacing w:after="120"/>
      </w:pPr>
      <w:r>
        <w:rPr>
          <w:b/>
          <w:bCs/>
          <w:sz w:val="22"/>
          <w:szCs w:val="22"/>
        </w:rPr>
        <w:t xml:space="preserve">Azione: </w:t>
      </w:r>
      <w:r>
        <w:rPr>
          <w:sz w:val="22"/>
          <w:szCs w:val="22"/>
        </w:rPr>
        <w:t xml:space="preserve">Riduzione del Food Cost teorico tramite orientamento della scelta dell'ospite.</w:t>
      </w:r>
    </w:p>
    <w:p>
      <w:pPr>
        <w:spacing w:before="240" w:after="240"/>
      </w:pPr>
      <w:r>
        <w:rPr>
          <w:b/>
          <w:bCs/>
          <w:sz w:val="22"/>
          <w:szCs w:val="22"/>
        </w:rPr>
        <w:t xml:space="preserve">Impatto Finanziario: </w:t>
      </w:r>
      <w:r>
        <w:rPr>
          <w:sz w:val="22"/>
          <w:szCs w:val="22"/>
        </w:rPr>
        <w:t xml:space="preserve">Riduzione del Food Cost dal 32% al 29% su un volume acquisti di € 300.000 = </w:t>
      </w:r>
      <w:r>
        <w:rPr>
          <w:b/>
          <w:bCs/>
          <w:color w:val="27AE60"/>
          <w:sz w:val="24"/>
          <w:szCs w:val="24"/>
        </w:rPr>
        <w:t xml:space="preserve">+ € 9.000</w:t>
      </w:r>
      <w:r>
        <w:rPr>
          <w:sz w:val="22"/>
          <w:szCs w:val="22"/>
        </w:rPr>
        <w:t xml:space="preserve"> di Utile Netto diretto</w:t>
      </w:r>
    </w:p>
    <w:p>
      <w:pPr>
        <w:pStyle w:val="Heading2"/>
        <w:spacing w:before="480"/>
      </w:pPr>
      <w:r>
        <w:t xml:space="preserve">D. RIDUZIONE DEL TURNOVER DEL PERSONALE (HR SAVINGS)</w:t>
      </w:r>
    </w:p>
    <w:p>
      <w:pPr>
        <w:spacing w:before="240" w:after="240"/>
        <w:jc w:val="both"/>
      </w:pPr>
      <w:r>
        <w:rPr>
          <w:sz w:val="22"/>
          <w:szCs w:val="22"/>
        </w:rPr>
        <w:t xml:space="preserve">Il turnover nel settore hospitality ha un costo occulto di circa € 4.000 per ogni dipendente sostituito (recruiting, training, bassa produttività iniziale).</w:t>
      </w:r>
    </w:p>
    <w:p>
      <w:pPr>
        <w:spacing w:after="120"/>
      </w:pPr>
      <w:r>
        <w:rPr>
          <w:b/>
          <w:bCs/>
          <w:sz w:val="22"/>
          <w:szCs w:val="22"/>
        </w:rPr>
        <w:t xml:space="preserve">Metodo: </w:t>
      </w:r>
      <w:r>
        <w:rPr>
          <w:sz w:val="22"/>
          <w:szCs w:val="22"/>
        </w:rPr>
        <w:t xml:space="preserve">Creazione di Brand Ambassadors tramite formazione continua (LMS) e Emotional Leadership.</w:t>
      </w:r>
    </w:p>
    <w:p>
      <w:pPr>
        <w:spacing w:before="240" w:after="360"/>
      </w:pPr>
      <w:r>
        <w:rPr>
          <w:b/>
          <w:bCs/>
          <w:sz w:val="22"/>
          <w:szCs w:val="22"/>
        </w:rPr>
        <w:t xml:space="preserve">Impatto Finanziario: </w:t>
      </w:r>
      <w:r>
        <w:rPr>
          <w:sz w:val="22"/>
          <w:szCs w:val="22"/>
        </w:rPr>
        <w:t xml:space="preserve">Riduzione del turnover del 30% (3 dimissioni in meno l'anno) = </w:t>
      </w:r>
      <w:r>
        <w:rPr>
          <w:b/>
          <w:bCs/>
          <w:color w:val="27AE60"/>
          <w:sz w:val="24"/>
          <w:szCs w:val="24"/>
        </w:rPr>
        <w:t xml:space="preserve">+ € 12.000</w:t>
      </w:r>
      <w:r>
        <w:rPr>
          <w:sz w:val="22"/>
          <w:szCs w:val="22"/>
        </w:rPr>
        <w:t xml:space="preserve"> di Risparmio Operativo</w:t>
      </w:r>
    </w:p>
    <w:p>
      <w:r>
        <w:br w:type="page"/>
      </w:r>
    </w:p>
    <w:p>
      <w:pPr>
        <w:pStyle w:val="Heading1"/>
      </w:pPr>
      <w:r>
        <w:t xml:space="preserve">3. PROSPETTO DI SINTESI: EBITDA IMPACT (ANNUALE)</w:t>
      </w:r>
    </w:p>
    <w:p>
      <w:pPr>
        <w:spacing w:before="240" w:after="360"/>
        <w:jc w:val="both"/>
      </w:pPr>
      <w:r>
        <w:rPr>
          <w:sz w:val="22"/>
          <w:szCs w:val="22"/>
        </w:rPr>
        <w:t xml:space="preserve">La seguente tabella riassume il valore generato per la struttura cliente dopo 12 mesi di applicazione a regime del metodo.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4F72" w:val="clear"/>
            <w:tcMar>
              <w:top w:type="dxa" w:w="140"/>
              <w:left w:type="dxa" w:w="160"/>
              <w:bottom w:type="dxa" w:w="140"/>
              <w:right w:type="dxa" w:w="160"/>
            </w:tcMar>
          </w:tcPr>
          <w:p>
            <w:pPr>
              <w:jc w:val="center"/>
            </w:pPr>
            <w:r>
              <w:rPr>
                <w:b/>
                <w:bCs/>
                <w:color w:val="FFFFFF"/>
                <w:sz w:val="20"/>
                <w:szCs w:val="20"/>
              </w:rPr>
              <w:t xml:space="preserve">LEVA OPERATIVA</w:t>
            </w:r>
          </w:p>
        </w:tc>
        <w:tc>
          <w:tcPr>
            <w:tcW w:type="dxa" w:w="3120"/>
            <w:tcBorders>
              <w:top w:val="single" w:color="FFFFFF" w:sz="1"/>
              <w:left w:val="single" w:color="FFFFFF" w:sz="1"/>
              <w:bottom w:val="single" w:color="FFFFFF" w:sz="1"/>
              <w:right w:val="single" w:color="FFFFFF" w:sz="1"/>
            </w:tcBorders>
            <w:shd w:fill="1B4F72" w:val="clear"/>
            <w:tcMar>
              <w:top w:type="dxa" w:w="140"/>
              <w:left w:type="dxa" w:w="160"/>
              <w:bottom w:type="dxa" w:w="140"/>
              <w:right w:type="dxa" w:w="160"/>
            </w:tcMar>
          </w:tcPr>
          <w:p>
            <w:pPr>
              <w:jc w:val="center"/>
            </w:pPr>
            <w:r>
              <w:rPr>
                <w:b/>
                <w:bCs/>
                <w:color w:val="FFFFFF"/>
                <w:sz w:val="20"/>
                <w:szCs w:val="20"/>
              </w:rPr>
              <w:t xml:space="preserve">DESCRIZIONE TECNICA</w:t>
            </w:r>
          </w:p>
        </w:tc>
        <w:tc>
          <w:tcPr>
            <w:tcW w:type="dxa" w:w="3120"/>
            <w:tcBorders>
              <w:top w:val="single" w:color="FFFFFF" w:sz="1"/>
              <w:left w:val="single" w:color="FFFFFF" w:sz="1"/>
              <w:bottom w:val="single" w:color="FFFFFF" w:sz="1"/>
              <w:right w:val="single" w:color="FFFFFF" w:sz="1"/>
            </w:tcBorders>
            <w:shd w:fill="1B4F72" w:val="clear"/>
            <w:tcMar>
              <w:top w:type="dxa" w:w="140"/>
              <w:left w:type="dxa" w:w="160"/>
              <w:bottom w:type="dxa" w:w="140"/>
              <w:right w:type="dxa" w:w="160"/>
            </w:tcMar>
          </w:tcPr>
          <w:p>
            <w:pPr>
              <w:jc w:val="center"/>
            </w:pPr>
            <w:r>
              <w:rPr>
                <w:b/>
                <w:bCs/>
                <w:color w:val="FFFFFF"/>
                <w:sz w:val="20"/>
                <w:szCs w:val="20"/>
              </w:rPr>
              <w:t xml:space="preserve">IMPATTO ECONOMICO</w:t>
            </w:r>
          </w:p>
        </w:tc>
      </w:tr>
      <w:tr>
        <w:tc>
          <w:tcPr>
            <w:tcW w:type="dxa" w:w="3120"/>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r>
              <w:rPr>
                <w:b/>
                <w:bCs/>
                <w:sz w:val="22"/>
                <w:szCs w:val="22"/>
              </w:rPr>
              <w:t xml:space="preserve">Upselling &amp; APC</w:t>
            </w:r>
          </w:p>
        </w:tc>
        <w:tc>
          <w:tcPr>
            <w:tcW w:type="dxa" w:w="3120"/>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r>
              <w:rPr>
                <w:sz w:val="20"/>
                <w:szCs w:val="20"/>
              </w:rPr>
              <w:t xml:space="preserve">Incremento ticket medio (+12%)</w:t>
            </w:r>
          </w:p>
        </w:tc>
        <w:tc>
          <w:tcPr>
            <w:tcW w:type="dxa" w:w="3120"/>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pPr>
              <w:jc w:val="right"/>
            </w:pPr>
            <w:r>
              <w:rPr>
                <w:b/>
                <w:bCs/>
                <w:color w:val="27AE60"/>
                <w:sz w:val="22"/>
                <w:szCs w:val="22"/>
              </w:rPr>
              <w:t xml:space="preserve">+ € 96.000</w:t>
            </w:r>
          </w:p>
        </w:tc>
      </w:tr>
      <w:tr>
        <w:tc>
          <w:tcPr>
            <w:tcW w:type="dxa" w:w="312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b/>
                <w:bCs/>
                <w:sz w:val="22"/>
                <w:szCs w:val="22"/>
              </w:rPr>
              <w:t xml:space="preserve">Efficienza RevPASH</w:t>
            </w:r>
          </w:p>
        </w:tc>
        <w:tc>
          <w:tcPr>
            <w:tcW w:type="dxa" w:w="312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sz w:val="20"/>
                <w:szCs w:val="20"/>
              </w:rPr>
              <w:t xml:space="preserve">Ottimizzazione rotazione tavoli</w:t>
            </w:r>
          </w:p>
        </w:tc>
        <w:tc>
          <w:tcPr>
            <w:tcW w:type="dxa" w:w="312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pPr>
              <w:jc w:val="right"/>
            </w:pPr>
            <w:r>
              <w:rPr>
                <w:b/>
                <w:bCs/>
                <w:color w:val="27AE60"/>
                <w:sz w:val="22"/>
                <w:szCs w:val="22"/>
              </w:rPr>
              <w:t xml:space="preserve">+ € 25.000</w:t>
            </w:r>
          </w:p>
        </w:tc>
      </w:tr>
      <w:tr>
        <w:tc>
          <w:tcPr>
            <w:tcW w:type="dxa" w:w="3120"/>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r>
              <w:rPr>
                <w:b/>
                <w:bCs/>
                <w:sz w:val="22"/>
                <w:szCs w:val="22"/>
              </w:rPr>
              <w:t xml:space="preserve">Cost Control</w:t>
            </w:r>
          </w:p>
        </w:tc>
        <w:tc>
          <w:tcPr>
            <w:tcW w:type="dxa" w:w="3120"/>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r>
              <w:rPr>
                <w:sz w:val="20"/>
                <w:szCs w:val="20"/>
              </w:rPr>
              <w:t xml:space="preserve">Risparmio su Food Cost (Menu Eng.)</w:t>
            </w:r>
          </w:p>
        </w:tc>
        <w:tc>
          <w:tcPr>
            <w:tcW w:type="dxa" w:w="3120"/>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pPr>
              <w:jc w:val="right"/>
            </w:pPr>
            <w:r>
              <w:rPr>
                <w:b/>
                <w:bCs/>
                <w:color w:val="27AE60"/>
                <w:sz w:val="22"/>
                <w:szCs w:val="22"/>
              </w:rPr>
              <w:t xml:space="preserve">+ € 9.000</w:t>
            </w:r>
          </w:p>
        </w:tc>
      </w:tr>
      <w:tr>
        <w:tc>
          <w:tcPr>
            <w:tcW w:type="dxa" w:w="312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b/>
                <w:bCs/>
                <w:sz w:val="22"/>
                <w:szCs w:val="22"/>
              </w:rPr>
              <w:t xml:space="preserve">HR Retention</w:t>
            </w:r>
          </w:p>
        </w:tc>
        <w:tc>
          <w:tcPr>
            <w:tcW w:type="dxa" w:w="312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sz w:val="20"/>
                <w:szCs w:val="20"/>
              </w:rPr>
              <w:t xml:space="preserve">Risparmio costi sostituzione staff</w:t>
            </w:r>
          </w:p>
        </w:tc>
        <w:tc>
          <w:tcPr>
            <w:tcW w:type="dxa" w:w="312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pPr>
              <w:jc w:val="right"/>
            </w:pPr>
            <w:r>
              <w:rPr>
                <w:b/>
                <w:bCs/>
                <w:color w:val="27AE60"/>
                <w:sz w:val="22"/>
                <w:szCs w:val="22"/>
              </w:rPr>
              <w:t xml:space="preserve">+ € 12.000</w:t>
            </w:r>
          </w:p>
        </w:tc>
      </w:tr>
      <w:tr>
        <w:tc>
          <w:tcPr>
            <w:tcW w:type="dxa" w:w="6240"/>
            <w:gridSpan w:val="2"/>
            <w:tcBorders>
              <w:top w:val="single" w:color="1B4F72" w:sz="3"/>
              <w:left w:val="single" w:color="1B4F72" w:sz="3"/>
              <w:bottom w:val="single" w:color="1B4F72" w:sz="3"/>
              <w:right w:val="single" w:color="1B4F72" w:sz="3"/>
            </w:tcBorders>
            <w:shd w:fill="D4AF37" w:val="clear"/>
            <w:tcMar>
              <w:top w:type="dxa" w:w="160"/>
              <w:left w:type="dxa" w:w="160"/>
              <w:bottom w:type="dxa" w:w="160"/>
              <w:right w:type="dxa" w:w="160"/>
            </w:tcMar>
          </w:tcPr>
          <w:p>
            <w:pPr>
              <w:jc w:val="right"/>
            </w:pPr>
            <w:r>
              <w:rPr>
                <w:b/>
                <w:bCs/>
                <w:color w:val="1B4F72"/>
                <w:sz w:val="24"/>
                <w:szCs w:val="24"/>
              </w:rPr>
              <w:t xml:space="preserve">TOTALE BENEFICIO ANNUO</w:t>
            </w:r>
          </w:p>
        </w:tc>
        <w:tc>
          <w:tcPr>
            <w:tcW w:type="dxa" w:w="3120"/>
            <w:tcBorders>
              <w:top w:val="single" w:color="1B4F72" w:sz="3"/>
              <w:left w:val="single" w:color="1B4F72" w:sz="3"/>
              <w:bottom w:val="single" w:color="1B4F72" w:sz="3"/>
              <w:right w:val="single" w:color="1B4F72" w:sz="3"/>
            </w:tcBorders>
            <w:shd w:fill="D4AF37" w:val="clear"/>
            <w:tcMar>
              <w:top w:type="dxa" w:w="160"/>
              <w:left w:type="dxa" w:w="160"/>
              <w:bottom w:type="dxa" w:w="160"/>
              <w:right w:type="dxa" w:w="160"/>
            </w:tcMar>
          </w:tcPr>
          <w:p>
            <w:pPr>
              <w:jc w:val="right"/>
            </w:pPr>
            <w:r>
              <w:rPr>
                <w:b/>
                <w:bCs/>
                <w:color w:val="1B4F72"/>
                <w:sz w:val="28"/>
                <w:szCs w:val="28"/>
              </w:rPr>
              <w:t xml:space="preserve">+ € 142.000</w:t>
            </w:r>
          </w:p>
        </w:tc>
      </w:tr>
    </w:tbl>
    <w:p>
      <w:pPr>
        <w:spacing w:before="360" w:after="240"/>
      </w:pPr>
      <w:r>
        <w:rPr>
          <w:b/>
          <w:bCs/>
          <w:color w:val="5B9BD5"/>
          <w:sz w:val="20"/>
          <w:szCs w:val="20"/>
        </w:rPr>
        <w:t xml:space="preserve">Note metodologiche</w:t>
      </w:r>
    </w:p>
    <w:p>
      <w:pPr>
        <w:spacing w:after="360"/>
        <w:jc w:val="both"/>
      </w:pPr>
      <w:r>
        <w:rPr>
          <w:i/>
          <w:iCs/>
          <w:color w:val="7F7F7F"/>
          <w:sz w:val="20"/>
          <w:szCs w:val="20"/>
        </w:rPr>
        <w:t xml:space="preserve">Per trasparenza analitica, i dati del ROI nel presente prospetto sono stati calcolati sulla base di una struttura "Benchmark" con le seguenti caratteristiche: Coperti Totali Annui: 10.000 (media di 200 coperti a settimana) • Scontrino Medio Iniziale (APC): € 85,00 (Food &amp; Beverage) • Fatturato Lordo F&amp;B: € 850.000,00 • Costo del Lavoro Stimato: 35% del fatturato • Food Cost Iniziale: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2"/>
              <w:bottom w:val="single" w:color="F39C12" w:sz="2"/>
              <w:right w:val="single" w:color="F39C12" w:sz="2"/>
            </w:tcBorders>
            <w:shd w:fill="FEF9E7" w:val="clear"/>
            <w:tcMar>
              <w:top w:type="dxa" w:w="180"/>
              <w:left w:type="dxa" w:w="200"/>
              <w:bottom w:type="dxa" w:w="180"/>
              <w:right w:type="dxa" w:w="200"/>
            </w:tcMar>
          </w:tcPr>
          <w:p>
            <w:pPr>
              <w:spacing w:after="120"/>
            </w:pPr>
            <w:r>
              <w:rPr>
                <w:b/>
                <w:bCs/>
                <w:color w:val="E67E22"/>
                <w:sz w:val="22"/>
                <w:szCs w:val="22"/>
              </w:rPr>
              <w:t xml:space="preserve">⚠ PERSONALIZZAZIONE GARANTITA</w:t>
            </w:r>
          </w:p>
          <w:p>
            <w:pPr>
              <w:jc w:val="both"/>
            </w:pPr>
            <w:r>
              <w:rPr>
                <w:sz w:val="20"/>
                <w:szCs w:val="20"/>
              </w:rPr>
              <w:t xml:space="preserve">I valori indicati nel prospetto di sintesi sono modulari. In fase di audit preliminare presso la vostra struttura, questi parametri verranno ricalcolati sui vostri dati storici reali per fornire una proiezione di profitto personalizzata al 100%.</w:t>
            </w:r>
          </w:p>
        </w:tc>
      </w:tr>
    </w:tbl>
    <w:p>
      <w:pPr>
        <w:spacing w:before="360"/>
      </w:pPr>
      <w:r>
        <w:br w:type="page"/>
      </w:r>
    </w:p>
    <w:p>
      <w:pPr>
        <w:pStyle w:val="Heading1"/>
      </w:pPr>
      <w:r>
        <w:t xml:space="preserve">4. STRUMENTI TECNOLOGICI ABILITANTI</w:t>
      </w:r>
    </w:p>
    <w:p>
      <w:pPr>
        <w:spacing w:before="240" w:after="360"/>
        <w:jc w:val="both"/>
      </w:pPr>
      <w:r>
        <w:rPr>
          <w:sz w:val="22"/>
          <w:szCs w:val="22"/>
        </w:rPr>
        <w:t xml:space="preserve">Per garantire la misurabilità dei risultati sopra esposti, il progetto The Ambassador Method™ prevede l'implementazione di un ecosistema digitale (finanziabile tramite misure come </w:t>
      </w:r>
      <w:r>
        <w:rPr>
          <w:i/>
          <w:iCs/>
          <w:color w:val="2E75B6"/>
          <w:sz w:val="22"/>
          <w:szCs w:val="22"/>
        </w:rPr>
        <w:t xml:space="preserve">Resto al Sud 2.0</w:t>
      </w:r>
      <w:r>
        <w:rPr>
          <w:sz w:val="22"/>
          <w:szCs w:val="22"/>
        </w:rPr>
        <w:t xml:space="preserve">):</w:t>
      </w:r>
    </w:p>
    <w:p>
      <w:pPr>
        <w:pStyle w:val="ListParagraph"/>
        <w:numPr>
          <w:ilvl w:val="0"/>
          <w:numId w:val="2"/>
        </w:numPr>
        <w:spacing w:after="180"/>
      </w:pPr>
      <w:r>
        <w:rPr>
          <w:b/>
          <w:bCs/>
          <w:sz w:val="22"/>
          <w:szCs w:val="22"/>
        </w:rPr>
        <w:t xml:space="preserve">Piattaforma BI (Business Intelligence): </w:t>
      </w:r>
      <w:r>
        <w:rPr>
          <w:sz w:val="22"/>
          <w:szCs w:val="22"/>
        </w:rPr>
        <w:t xml:space="preserve">Per il monitoraggio in tempo reale del RevPASH e dei KPI di vendita.</w:t>
      </w:r>
    </w:p>
    <w:p>
      <w:pPr>
        <w:pStyle w:val="ListParagraph"/>
        <w:numPr>
          <w:ilvl w:val="0"/>
          <w:numId w:val="2"/>
        </w:numPr>
        <w:spacing w:after="180"/>
      </w:pPr>
      <w:r>
        <w:rPr>
          <w:b/>
          <w:bCs/>
          <w:sz w:val="22"/>
          <w:szCs w:val="22"/>
        </w:rPr>
        <w:t xml:space="preserve">Ambassador Academy: </w:t>
      </w:r>
      <w:r>
        <w:rPr>
          <w:sz w:val="22"/>
          <w:szCs w:val="22"/>
        </w:rPr>
        <w:t xml:space="preserve">Piattaforma di e-learning per la standardizzazione delle SOP e la certificazione delle competenze dello staff.</w:t>
      </w:r>
    </w:p>
    <w:p>
      <w:pPr>
        <w:pStyle w:val="ListParagraph"/>
        <w:numPr>
          <w:ilvl w:val="0"/>
          <w:numId w:val="2"/>
        </w:numPr>
        <w:spacing w:after="360"/>
      </w:pPr>
      <w:r>
        <w:rPr>
          <w:b/>
          <w:bCs/>
          <w:sz w:val="22"/>
          <w:szCs w:val="22"/>
        </w:rPr>
        <w:t xml:space="preserve">Software di Menu Engineering: </w:t>
      </w:r>
      <w:r>
        <w:rPr>
          <w:sz w:val="22"/>
          <w:szCs w:val="22"/>
        </w:rPr>
        <w:t xml:space="preserve">Algoritmi predittivi per il calcolo della redditività dei piatti prima del lancio.</w:t>
      </w:r>
    </w:p>
    <w:p>
      <w:r>
        <w:br w:type="page"/>
      </w:r>
    </w:p>
    <w:p>
      <w:pPr>
        <w:pStyle w:val="Heading1"/>
      </w:pPr>
      <w:r>
        <w:t xml:space="preserve">5. CONCLUSIONI E ROADMAP</w:t>
      </w:r>
    </w:p>
    <w:p>
      <w:pPr>
        <w:spacing w:before="240" w:after="360"/>
        <w:jc w:val="both"/>
      </w:pPr>
      <w:r>
        <w:rPr>
          <w:sz w:val="22"/>
          <w:szCs w:val="22"/>
        </w:rPr>
        <w:t xml:space="preserve">L'investimento richiesto per la consulenza e la formazione The Ambassador Method™ non rappresenta un costo, ma un </w:t>
      </w:r>
      <w:r>
        <w:rPr>
          <w:b/>
          <w:bCs/>
          <w:color w:val="2E75B6"/>
          <w:sz w:val="22"/>
          <w:szCs w:val="22"/>
        </w:rPr>
        <w:t xml:space="preserve">moltiplicatore di valore</w:t>
      </w:r>
      <w:r>
        <w:rPr>
          <w:sz w:val="22"/>
          <w:szCs w:val="22"/>
        </w:rPr>
        <w:t xml:space="preserve">.</w:t>
      </w:r>
    </w:p>
    <w:p>
      <w:pPr>
        <w:pStyle w:val="Heading2"/>
      </w:pPr>
      <w:r>
        <w:t xml:space="preserve">Roadmap di Intervento</w:t>
      </w:r>
    </w:p>
    <w:p>
      <w:pPr>
        <w:spacing w:before="240" w:after="120"/>
      </w:pPr>
      <w:r>
        <w:rPr>
          <w:b/>
          <w:bCs/>
          <w:color w:val="2E75B6"/>
          <w:sz w:val="22"/>
          <w:szCs w:val="22"/>
        </w:rPr>
        <w:t xml:space="preserve">Mese 1: </w:t>
      </w:r>
      <w:r>
        <w:rPr>
          <w:sz w:val="22"/>
          <w:szCs w:val="22"/>
        </w:rPr>
        <w:t xml:space="preserve">Audit Operativo, Analisi Dati Storici e Setup KPI.</w:t>
      </w:r>
    </w:p>
    <w:p>
      <w:pPr>
        <w:spacing w:after="120"/>
      </w:pPr>
      <w:r>
        <w:rPr>
          <w:b/>
          <w:bCs/>
          <w:color w:val="2E75B6"/>
          <w:sz w:val="22"/>
          <w:szCs w:val="22"/>
        </w:rPr>
        <w:t xml:space="preserve">Mese 2: </w:t>
      </w:r>
      <w:r>
        <w:rPr>
          <w:sz w:val="22"/>
          <w:szCs w:val="22"/>
        </w:rPr>
        <w:t xml:space="preserve">Formazione Intensiva Staff (SOP &amp; Neuro-Vendita).</w:t>
      </w:r>
    </w:p>
    <w:p>
      <w:pPr>
        <w:spacing w:after="360"/>
      </w:pPr>
      <w:r>
        <w:rPr>
          <w:b/>
          <w:bCs/>
          <w:color w:val="2E75B6"/>
          <w:sz w:val="22"/>
          <w:szCs w:val="22"/>
        </w:rPr>
        <w:t xml:space="preserve">Mese 3: </w:t>
      </w:r>
      <w:r>
        <w:rPr>
          <w:sz w:val="22"/>
          <w:szCs w:val="22"/>
        </w:rPr>
        <w:t xml:space="preserve">Go-Live e Monitoraggio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D5F5E3" w:val="clear"/>
            <w:tcMar>
              <w:top w:type="dxa" w:w="200"/>
              <w:left w:type="dxa" w:w="200"/>
              <w:bottom w:type="dxa" w:w="200"/>
              <w:right w:type="dxa" w:w="200"/>
            </w:tcMar>
          </w:tcPr>
          <w:p>
            <w:pPr>
              <w:spacing w:after="120"/>
              <w:jc w:val="center"/>
            </w:pPr>
            <w:r>
              <w:rPr>
                <w:b/>
                <w:bCs/>
                <w:color w:val="27AE60"/>
                <w:sz w:val="24"/>
                <w:szCs w:val="24"/>
              </w:rPr>
              <w:t xml:space="preserve">BREAK-EVEN POINT</w:t>
            </w:r>
          </w:p>
          <w:p>
            <w:pPr>
              <w:jc w:val="center"/>
            </w:pPr>
            <w:r>
              <w:rPr>
                <w:sz w:val="22"/>
                <w:szCs w:val="22"/>
              </w:rPr>
              <w:t xml:space="preserve">Il Punto di Pareggio dell'investimento si raggiunge mediamente entro il </w:t>
            </w:r>
            <w:r>
              <w:rPr>
                <w:b/>
                <w:bCs/>
                <w:color w:val="27AE60"/>
                <w:sz w:val="24"/>
                <w:szCs w:val="24"/>
              </w:rPr>
              <w:t xml:space="preserve">3° mese</w:t>
            </w:r>
            <w:r>
              <w:rPr>
                <w:sz w:val="22"/>
                <w:szCs w:val="22"/>
              </w:rPr>
              <w:t xml:space="preserve"> di attività.</w:t>
            </w:r>
          </w:p>
        </w:tc>
      </w:tr>
    </w:tbl>
    <w:p>
      <w:pPr>
        <w:spacing w:before="720"/>
      </w:pPr>
    </w:p>
    <w:p>
      <w:pPr>
        <w:pStyle w:val="Heading2"/>
      </w:pPr>
      <w:r>
        <w:t xml:space="preserve">Clausola di Riservatezza</w:t>
      </w:r>
    </w:p>
    <w:p>
      <w:pPr>
        <w:spacing w:before="240"/>
        <w:jc w:val="both"/>
      </w:pPr>
      <w:r>
        <w:rPr>
          <w:i/>
          <w:iCs/>
          <w:color w:val="7F7F7F"/>
          <w:sz w:val="20"/>
          <w:szCs w:val="20"/>
        </w:rPr>
        <w:t xml:space="preserve">Il presente documento contiene informazioni proprietarie e metodologie coperte da diritti di proprietà intellettuale di Raffaele D'Urso e Ambassador Group. È vietata la copia o la divulgazione a terzi senza autorizzazione scritta.</w:t>
      </w:r>
    </w:p>
    <w:p>
      <w:pPr>
        <w:pBdr>
          <w:top w:val="single" w:color="2E75B6" w:sz="6"/>
        </w:pBdr>
        <w:spacing w:before="960"/>
        <w:jc w:val="center"/>
      </w:pPr>
    </w:p>
    <w:p>
      <w:pPr>
        <w:spacing w:before="240" w:after="60"/>
        <w:jc w:val="center"/>
      </w:pPr>
      <w:r>
        <w:rPr>
          <w:b/>
          <w:bCs/>
          <w:color w:val="1B4F72"/>
          <w:sz w:val="24"/>
          <w:szCs w:val="24"/>
        </w:rPr>
        <w:t xml:space="preserve">THE AMBASSADOR METHOD™</w:t>
      </w:r>
    </w:p>
    <w:p>
      <w:pPr>
        <w:spacing w:after="60"/>
        <w:jc w:val="center"/>
      </w:pPr>
      <w:r>
        <w:rPr>
          <w:i/>
          <w:iCs/>
          <w:sz w:val="20"/>
          <w:szCs w:val="20"/>
        </w:rPr>
        <w:t xml:space="preserve">Raffaele D'Urso | Founder &amp; Head of Strategy</w:t>
      </w:r>
    </w:p>
    <w:p>
      <w:pPr>
        <w:spacing w:after="60"/>
        <w:jc w:val="center"/>
      </w:pPr>
      <w:r>
        <w:rPr>
          <w:color w:val="2E75B6"/>
          <w:sz w:val="20"/>
          <w:szCs w:val="20"/>
        </w:rPr>
        <w:t xml:space="preserve">theambassadormethod@gmail.com</w:t>
      </w:r>
    </w:p>
    <w:p>
      <w:pPr>
        <w:jc w:val="center"/>
      </w:pPr>
      <w:r>
        <w:rPr>
          <w:color w:val="2E75B6"/>
          <w:sz w:val="20"/>
          <w:szCs w:val="20"/>
        </w:rPr>
        <w:t xml:space="preserve">+39 351 651 3239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1B4F72"/>
      <w:sz w:val="36"/>
      <w:szCs w:val="36"/>
    </w:rPr>
  </w:style>
  <w:style w:type="paragraph" w:styleId="Heading2">
    <w:name w:val="Heading 2"/>
    <w:basedOn w:val="Normal"/>
    <w:next w:val="Normal"/>
    <w:qFormat/>
    <w:pPr>
      <w:spacing w:before="360" w:after="18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2026-02-13T11:53:38.491Z</dcterms:created>
  <dcterms:modified xsi:type="dcterms:W3CDTF">2026-02-13T11:53:38.492Z</dcterms:modified>
</cp:coreProperties>
</file>

<file path=docProps/custom.xml><?xml version="1.0" encoding="utf-8"?>
<Properties xmlns="http://schemas.openxmlformats.org/officeDocument/2006/custom-properties" xmlns:vt="http://schemas.openxmlformats.org/officeDocument/2006/docPropsVTypes"/>
</file>