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POLICYFLOW</w:t>
      </w:r>
    </w:p>
    <w:p>
      <w:pPr>
        <w:pStyle w:val="Subtitle"/>
      </w:pPr>
      <w:r>
        <w:t>Fault-Tolerant Insurance Issuance &amp; Reconciliation Engine</w:t>
      </w:r>
    </w:p>
    <w:p>
      <w:r>
        <w:t>CAMPUS PLACEMENT  |  SOFTWARE ENGINEERING PRACTICAL ASSESSMENT</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t>Assignment window</w:t>
            </w:r>
          </w:p>
        </w:tc>
        <w:tc>
          <w:tcPr>
            <w:tcW w:type="dxa" w:w="2448"/>
            <w:vAlign w:val="center"/>
          </w:tcPr>
          <w:p>
            <w:r>
              <w:t>Expected effort</w:t>
            </w:r>
          </w:p>
        </w:tc>
        <w:tc>
          <w:tcPr>
            <w:tcW w:type="dxa" w:w="2448"/>
            <w:vAlign w:val="center"/>
          </w:tcPr>
          <w:p>
            <w:r>
              <w:t>Submission</w:t>
            </w:r>
          </w:p>
        </w:tc>
        <w:tc>
          <w:tcPr>
            <w:tcW w:type="dxa" w:w="2448"/>
            <w:vAlign w:val="center"/>
          </w:tcPr>
          <w:p>
            <w:r>
              <w:t>AI policy</w:t>
            </w:r>
          </w:p>
        </w:tc>
      </w:tr>
      <w:tr>
        <w:tc>
          <w:tcPr>
            <w:tcW w:type="dxa" w:w="2448"/>
            <w:vAlign w:val="center"/>
          </w:tcPr>
          <w:p>
            <w:r>
              <w:t>48 hours from assignment release</w:t>
            </w:r>
          </w:p>
        </w:tc>
        <w:tc>
          <w:tcPr>
            <w:tcW w:type="dxa" w:w="2448"/>
            <w:vAlign w:val="center"/>
          </w:tcPr>
          <w:p>
            <w:r>
              <w:t>8–12 focused hours</w:t>
            </w:r>
          </w:p>
        </w:tc>
        <w:tc>
          <w:tcPr>
            <w:tcW w:type="dxa" w:w="2448"/>
            <w:vAlign w:val="center"/>
          </w:tcPr>
          <w:p>
            <w:r>
              <w:t>Public or reviewer-accessible GitHub repository</w:t>
            </w:r>
          </w:p>
        </w:tc>
        <w:tc>
          <w:tcPr>
            <w:tcW w:type="dxa" w:w="2448"/>
            <w:vAlign w:val="center"/>
          </w:tcPr>
          <w:p>
            <w:r>
              <w:t>AI tools permitted; disclosure required</w:t>
            </w:r>
          </w:p>
        </w:tc>
      </w:tr>
    </w:tbl>
    <w:p/>
    <w:p>
      <w:r>
        <w:t>Important: This is an individual assessment. You are not expected to deliver a production-ready insurance platform. We evaluate the correctness of your core implementation, your engineering decisions, and your ability to explain the code you submit.</w:t>
      </w:r>
    </w:p>
    <w:p>
      <w:pPr>
        <w:pStyle w:val="Heading1"/>
      </w:pPr>
      <w:r>
        <w:t>1. Business problem</w:t>
      </w:r>
    </w:p>
    <w:p>
      <w:r>
        <w:t>A fictional travel-insurance distributor receives policy purchase requests from agents. Each request must be validated, priced, submitted to an external insurer, and tracked until its final outcome is known. The insurer is unreliable: requests can time out, responses can be delayed, and callbacks may be repeated. Build a small but robust system that processes requests safely and provides operational visibility.</w:t>
      </w:r>
    </w:p>
    <w:p>
      <w:r>
        <w:t>The primary engineering objective is to avoid duplicate issuance and incorrect final states when the same request is retried or delivered multiple times.</w:t>
      </w:r>
    </w:p>
    <w:p>
      <w:pPr>
        <w:pStyle w:val="Heading1"/>
      </w:pPr>
      <w:r>
        <w:t>2. Technology and implementation constraints</w:t>
      </w:r>
    </w:p>
    <w:p>
      <w:pPr>
        <w:pStyle w:val="ListBullet"/>
      </w:pPr>
      <w:r>
        <w:t>Required: PHP 8.2+ and Laravel 11 or newer, MySQL 8+ or PostgreSQL, REST endpoints, database migrations, and automated tests.</w:t>
      </w:r>
    </w:p>
    <w:p>
      <w:pPr>
        <w:pStyle w:val="ListBullet"/>
      </w:pPr>
      <w:r>
        <w:t>Optional: Redis and queues, Filament admin panel, Docker, API documentation tooling. A working minimal UI or documented API is acceptable.</w:t>
      </w:r>
    </w:p>
    <w:p>
      <w:pPr>
        <w:pStyle w:val="ListBullet"/>
      </w:pPr>
      <w:r>
        <w:t>Use only fabricated candidate-created customer data. Do not integrate with real insurers, payment gateways, or production systems.</w:t>
      </w:r>
    </w:p>
    <w:p>
      <w:pPr>
        <w:pStyle w:val="ListBullet"/>
      </w:pPr>
      <w:r>
        <w:t>Your application must run locally using documented commands and without paid services.</w:t>
      </w:r>
    </w:p>
    <w:p>
      <w:pPr>
        <w:pStyle w:val="Heading1"/>
      </w:pPr>
      <w:r>
        <w:t>3. Mandatory scope (build these first)</w:t>
      </w:r>
    </w:p>
    <w:p>
      <w:pPr>
        <w:pStyle w:val="Heading2"/>
      </w:pPr>
      <w:r>
        <w:t>3.1 Policy request intake</w:t>
      </w:r>
    </w:p>
    <w:p>
      <w:pPr>
        <w:pStyle w:val="ListBullet"/>
      </w:pPr>
      <w:r>
        <w:t>Create a policy request using an API. Required fields: client_request_id, agent_id, customer_name, date_of_birth, destination, trip_start, trip_end, plan_code, and sum_insured.</w:t>
      </w:r>
    </w:p>
    <w:p>
      <w:pPr>
        <w:pStyle w:val="ListBullet"/>
      </w:pPr>
      <w:r>
        <w:t>Validate required fields, date logic (trip_end &gt;= trip_start), and supported plans. Return meaningful validation errors.</w:t>
      </w:r>
    </w:p>
    <w:p>
      <w:pPr>
        <w:pStyle w:val="ListBullet"/>
      </w:pPr>
      <w:r>
        <w:t>Persist a request with a unique identifier and timestamps. Repeated submissions with the same agent_id + client_request_id must not create another logical request.</w:t>
      </w:r>
    </w:p>
    <w:p>
      <w:pPr>
        <w:pStyle w:val="Heading2"/>
      </w:pPr>
      <w:r>
        <w:t>3.2 Premium calculation</w:t>
      </w:r>
    </w:p>
    <w:p>
      <w:r>
        <w:t>Implement the following fictional pricing rules. The purpose is deterministic business logic, not real insurance pricing.</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t>Rule</w:t>
            </w:r>
          </w:p>
        </w:tc>
        <w:tc>
          <w:tcPr>
            <w:tcW w:type="dxa" w:w="4896"/>
            <w:vAlign w:val="center"/>
          </w:tcPr>
          <w:p>
            <w:r>
              <w:t>Value</w:t>
            </w:r>
          </w:p>
        </w:tc>
      </w:tr>
      <w:tr>
        <w:tc>
          <w:tcPr>
            <w:tcW w:type="dxa" w:w="4896"/>
            <w:vAlign w:val="center"/>
          </w:tcPr>
          <w:p>
            <w:r>
              <w:t>Base premium per travel day</w:t>
            </w:r>
          </w:p>
        </w:tc>
        <w:tc>
          <w:tcPr>
            <w:tcW w:type="dxa" w:w="4896"/>
            <w:vAlign w:val="center"/>
          </w:tcPr>
          <w:p>
            <w:r>
              <w:t>BASIC = ₹12; PLUS = ₹20; PREMIUM = ₹30</w:t>
            </w:r>
          </w:p>
        </w:tc>
      </w:tr>
      <w:tr>
        <w:tc>
          <w:tcPr>
            <w:tcW w:type="dxa" w:w="4896"/>
            <w:vAlign w:val="center"/>
          </w:tcPr>
          <w:p>
            <w:r>
              <w:t>Age multiplier (on trip start)</w:t>
            </w:r>
          </w:p>
        </w:tc>
        <w:tc>
          <w:tcPr>
            <w:tcW w:type="dxa" w:w="4896"/>
            <w:vAlign w:val="center"/>
          </w:tcPr>
          <w:p>
            <w:r>
              <w:t>0–17: 1.10; 18–60: 1.00; 61–70: 1.50; 71+: 2.00</w:t>
            </w:r>
          </w:p>
        </w:tc>
      </w:tr>
      <w:tr>
        <w:tc>
          <w:tcPr>
            <w:tcW w:type="dxa" w:w="4896"/>
            <w:vAlign w:val="center"/>
          </w:tcPr>
          <w:p>
            <w:r>
              <w:t>Destination multiplier</w:t>
            </w:r>
          </w:p>
        </w:tc>
        <w:tc>
          <w:tcPr>
            <w:tcW w:type="dxa" w:w="4896"/>
            <w:vAlign w:val="center"/>
          </w:tcPr>
          <w:p>
            <w:r>
              <w:t>DOMESTIC: 1.00; INTERNATIONAL: 1.80</w:t>
            </w:r>
          </w:p>
        </w:tc>
      </w:tr>
      <w:tr>
        <w:tc>
          <w:tcPr>
            <w:tcW w:type="dxa" w:w="4896"/>
            <w:vAlign w:val="center"/>
          </w:tcPr>
          <w:p>
            <w:r>
              <w:t>Coverage multiplier</w:t>
            </w:r>
          </w:p>
        </w:tc>
        <w:tc>
          <w:tcPr>
            <w:tcW w:type="dxa" w:w="4896"/>
            <w:vAlign w:val="center"/>
          </w:tcPr>
          <w:p>
            <w:r>
              <w:t>₹100,000: 1.00; ₹300,000: 1.25; ₹500,000: 1.50</w:t>
            </w:r>
          </w:p>
        </w:tc>
      </w:tr>
      <w:tr>
        <w:tc>
          <w:tcPr>
            <w:tcW w:type="dxa" w:w="4896"/>
            <w:vAlign w:val="center"/>
          </w:tcPr>
          <w:p>
            <w:r>
              <w:t>Days</w:t>
            </w:r>
          </w:p>
        </w:tc>
        <w:tc>
          <w:tcPr>
            <w:tcW w:type="dxa" w:w="4896"/>
            <w:vAlign w:val="center"/>
          </w:tcPr>
          <w:p>
            <w:r>
              <w:t>Inclusive: trip_end − trip_start + 1; minimum 1</w:t>
            </w:r>
          </w:p>
        </w:tc>
      </w:tr>
      <w:tr>
        <w:tc>
          <w:tcPr>
            <w:tcW w:type="dxa" w:w="4896"/>
            <w:vAlign w:val="center"/>
          </w:tcPr>
          <w:p>
            <w:r>
              <w:t>Rounding</w:t>
            </w:r>
          </w:p>
        </w:tc>
        <w:tc>
          <w:tcPr>
            <w:tcW w:type="dxa" w:w="4896"/>
            <w:vAlign w:val="center"/>
          </w:tcPr>
          <w:p>
            <w:r>
              <w:t>Round final premium to 2 decimal places using decimal-safe arithmetic</w:t>
            </w:r>
          </w:p>
        </w:tc>
      </w:tr>
    </w:tbl>
    <w:p/>
    <w:p>
      <w:r>
        <w:t>Formula: premium = base_daily_rate × travel_days × age_multiplier × destination_multiplier × coverage_multiplier. Reject unsupported coverage or plan values. Persist the calculated premium as an immutable snapshot for that request.</w:t>
      </w:r>
    </w:p>
    <w:p>
      <w:pPr>
        <w:pStyle w:val="Heading2"/>
      </w:pPr>
      <w:r>
        <w:t>3.3 Issuance workflow</w:t>
      </w:r>
    </w:p>
    <w:p>
      <w:pPr>
        <w:pStyle w:val="ListBullet"/>
      </w:pPr>
      <w:r>
        <w:t>Support states: RECEIVED, VALIDATED, SUBMITTED, PENDING_CONFIRMATION, ISSUED, FAILED, NEEDS_RECONCILIATION. You may add states if justified.</w:t>
      </w:r>
    </w:p>
    <w:p>
      <w:pPr>
        <w:pStyle w:val="ListBullet"/>
      </w:pPr>
      <w:r>
        <w:t>Submit a validated request to a mock insurer. A simulated insurer is sufficient: an HTTP endpoint within a separate mock route/controller or a small local service.</w:t>
      </w:r>
    </w:p>
    <w:p>
      <w:pPr>
        <w:pStyle w:val="ListBullet"/>
      </w:pPr>
      <w:r>
        <w:t>Persist provider reference, last response, attempt count, and state transitions. Ensure an issued policy has a unique policy_number.</w:t>
      </w:r>
    </w:p>
    <w:p>
      <w:pPr>
        <w:pStyle w:val="ListBullet"/>
      </w:pPr>
      <w:r>
        <w:t>Expose a read endpoint to retrieve the current state and an audit trail for a request.</w:t>
      </w:r>
    </w:p>
    <w:p>
      <w:pPr>
        <w:pStyle w:val="Heading2"/>
      </w:pPr>
      <w:r>
        <w:t>3.4 Reliability: implement at least two cases</w:t>
      </w:r>
    </w:p>
    <w:p>
      <w:pPr>
        <w:pStyle w:val="ListNumber"/>
      </w:pPr>
      <w:r>
        <w:t>Duplicate intake: the same client_request_id is submitted repeatedly, including near-simultaneous requests.</w:t>
      </w:r>
    </w:p>
    <w:p>
      <w:pPr>
        <w:pStyle w:val="ListNumber"/>
      </w:pPr>
      <w:r>
        <w:t>Timeout after success: the insurer may have issued a policy even when the client receives no response; do not blindly issue again.</w:t>
      </w:r>
    </w:p>
    <w:p>
      <w:pPr>
        <w:pStyle w:val="ListNumber"/>
      </w:pPr>
      <w:r>
        <w:t>Duplicate callback: the same provider event is delivered multiple times; processing must be idempotent.</w:t>
      </w:r>
    </w:p>
    <w:p>
      <w:pPr>
        <w:pStyle w:val="ListNumber"/>
      </w:pPr>
      <w:r>
        <w:t>Retry after temporary failure: retries must not produce duplicate policies or lose the original accepted premium.</w:t>
      </w:r>
    </w:p>
    <w:p>
      <w:r>
        <w:t>Clearly identify which two cases you implemented and demonstrate them in automated tests. Explain how you would solve the others.</w:t>
      </w:r>
    </w:p>
    <w:p>
      <w:pPr>
        <w:pStyle w:val="Heading1"/>
      </w:pPr>
      <w:r>
        <w:t>4. API contract (minimum)</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Method</w:t>
            </w:r>
          </w:p>
        </w:tc>
        <w:tc>
          <w:tcPr>
            <w:tcW w:type="dxa" w:w="3264"/>
            <w:vAlign w:val="center"/>
          </w:tcPr>
          <w:p>
            <w:r>
              <w:t>Endpoint</w:t>
            </w:r>
          </w:p>
        </w:tc>
        <w:tc>
          <w:tcPr>
            <w:tcW w:type="dxa" w:w="3264"/>
            <w:vAlign w:val="center"/>
          </w:tcPr>
          <w:p>
            <w:r>
              <w:t>Purpose</w:t>
            </w:r>
          </w:p>
        </w:tc>
      </w:tr>
      <w:tr>
        <w:tc>
          <w:tcPr>
            <w:tcW w:type="dxa" w:w="3264"/>
            <w:vAlign w:val="center"/>
          </w:tcPr>
          <w:p>
            <w:r>
              <w:t>POST</w:t>
            </w:r>
          </w:p>
        </w:tc>
        <w:tc>
          <w:tcPr>
            <w:tcW w:type="dxa" w:w="3264"/>
            <w:vAlign w:val="center"/>
          </w:tcPr>
          <w:p>
            <w:r>
              <w:t>/api/policy-requests</w:t>
            </w:r>
          </w:p>
        </w:tc>
        <w:tc>
          <w:tcPr>
            <w:tcW w:type="dxa" w:w="3264"/>
            <w:vAlign w:val="center"/>
          </w:tcPr>
          <w:p>
            <w:r>
              <w:t>Create or safely return existing request</w:t>
            </w:r>
          </w:p>
        </w:tc>
      </w:tr>
      <w:tr>
        <w:tc>
          <w:tcPr>
            <w:tcW w:type="dxa" w:w="3264"/>
            <w:vAlign w:val="center"/>
          </w:tcPr>
          <w:p>
            <w:r>
              <w:t>GET</w:t>
            </w:r>
          </w:p>
        </w:tc>
        <w:tc>
          <w:tcPr>
            <w:tcW w:type="dxa" w:w="3264"/>
            <w:vAlign w:val="center"/>
          </w:tcPr>
          <w:p>
            <w:r>
              <w:t>/api/policy-requests/{id}</w:t>
            </w:r>
          </w:p>
        </w:tc>
        <w:tc>
          <w:tcPr>
            <w:tcW w:type="dxa" w:w="3264"/>
            <w:vAlign w:val="center"/>
          </w:tcPr>
          <w:p>
            <w:r>
              <w:t>Retrieve status, premium and references</w:t>
            </w:r>
          </w:p>
        </w:tc>
      </w:tr>
      <w:tr>
        <w:tc>
          <w:tcPr>
            <w:tcW w:type="dxa" w:w="3264"/>
            <w:vAlign w:val="center"/>
          </w:tcPr>
          <w:p>
            <w:r>
              <w:t>POST</w:t>
            </w:r>
          </w:p>
        </w:tc>
        <w:tc>
          <w:tcPr>
            <w:tcW w:type="dxa" w:w="3264"/>
            <w:vAlign w:val="center"/>
          </w:tcPr>
          <w:p>
            <w:r>
              <w:t>/api/policy-requests/{id}/submit</w:t>
            </w:r>
          </w:p>
        </w:tc>
        <w:tc>
          <w:tcPr>
            <w:tcW w:type="dxa" w:w="3264"/>
            <w:vAlign w:val="center"/>
          </w:tcPr>
          <w:p>
            <w:r>
              <w:t>Start or safely resume issuance</w:t>
            </w:r>
          </w:p>
        </w:tc>
      </w:tr>
      <w:tr>
        <w:tc>
          <w:tcPr>
            <w:tcW w:type="dxa" w:w="3264"/>
            <w:vAlign w:val="center"/>
          </w:tcPr>
          <w:p>
            <w:r>
              <w:t>POST</w:t>
            </w:r>
          </w:p>
        </w:tc>
        <w:tc>
          <w:tcPr>
            <w:tcW w:type="dxa" w:w="3264"/>
            <w:vAlign w:val="center"/>
          </w:tcPr>
          <w:p>
            <w:r>
              <w:t>/api/mock-insurer/callback</w:t>
            </w:r>
          </w:p>
        </w:tc>
        <w:tc>
          <w:tcPr>
            <w:tcW w:type="dxa" w:w="3264"/>
            <w:vAlign w:val="center"/>
          </w:tcPr>
          <w:p>
            <w:r>
              <w:t>Receive a simulated provider event</w:t>
            </w:r>
          </w:p>
        </w:tc>
      </w:tr>
      <w:tr>
        <w:tc>
          <w:tcPr>
            <w:tcW w:type="dxa" w:w="3264"/>
            <w:vAlign w:val="center"/>
          </w:tcPr>
          <w:p>
            <w:r>
              <w:t>GET</w:t>
            </w:r>
          </w:p>
        </w:tc>
        <w:tc>
          <w:tcPr>
            <w:tcW w:type="dxa" w:w="3264"/>
            <w:vAlign w:val="center"/>
          </w:tcPr>
          <w:p>
            <w:r>
              <w:t>/api/policy-requests</w:t>
            </w:r>
          </w:p>
        </w:tc>
        <w:tc>
          <w:tcPr>
            <w:tcW w:type="dxa" w:w="3264"/>
            <w:vAlign w:val="center"/>
          </w:tcPr>
          <w:p>
            <w:r>
              <w:t>List requests with status filter and pagination</w:t>
            </w:r>
          </w:p>
        </w:tc>
      </w:tr>
    </w:tbl>
    <w:p/>
    <w:p>
      <w:r>
        <w:t>Use HTTP 201 for a newly created request, 200 for a safely repeated request, 422 for validation errors, and appropriate 4xx/5xx responses for other failures. Define and document your exact response format.</w:t>
      </w:r>
    </w:p>
    <w:p>
      <w:pPr>
        <w:pStyle w:val="Heading2"/>
      </w:pPr>
      <w:r>
        <w:t>Example intake request</w:t>
      </w:r>
    </w:p>
    <w:p>
      <w:pPr>
        <w:spacing w:after="160"/>
        <w:ind w:left="216"/>
      </w:pPr>
      <w:r>
        <w:rPr>
          <w:rFonts w:ascii="Consolas" w:hAnsi="Consolas"/>
          <w:color w:val="1E4155"/>
          <w:sz w:val="16"/>
        </w:rPr>
        <w:t>POST /api/policy-requests</w:t>
        <w:br/>
        <w:t>{</w:t>
        <w:br/>
        <w:t xml:space="preserve">  "client_request_id": "AGT-2026-0001",</w:t>
        <w:br/>
        <w:t xml:space="preserve">  "agent_id": "AGENT-17",</w:t>
        <w:br/>
        <w:t xml:space="preserve">  "customer_name": "Sample Customer",</w:t>
        <w:br/>
        <w:t xml:space="preserve">  "date_of_birth": "1998-04-10",</w:t>
        <w:br/>
        <w:t xml:space="preserve">  "destination": "INTERNATIONAL",</w:t>
        <w:br/>
        <w:t xml:space="preserve">  "trip_start": "2026-11-10",</w:t>
        <w:br/>
        <w:t xml:space="preserve">  "trip_end": "2026-11-14",</w:t>
        <w:br/>
        <w:t xml:space="preserve">  "plan_code": "PLUS",</w:t>
        <w:br/>
        <w:t xml:space="preserve">  "sum_insured": 300000</w:t>
        <w:br/>
        <w:t>}</w:t>
      </w:r>
    </w:p>
    <w:p>
      <w:r>
        <w:t>For this example, travel_days = 5, age multiplier = 1.00, and premium = 20 × 5 × 1.00 × 1.80 × 1.25 = ₹225.00.</w:t>
      </w:r>
    </w:p>
    <w:p>
      <w:pPr>
        <w:pStyle w:val="Heading1"/>
      </w:pPr>
      <w:r>
        <w:t>5. Mock insurer behavior</w:t>
      </w:r>
    </w:p>
    <w:p>
      <w:r>
        <w:t>Create a deterministic mock that can be configured per request using a development-only scenario flag, test fixture, or seeded scenario mapping. Do not require real external API credentials.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Scenario</w:t>
            </w:r>
          </w:p>
        </w:tc>
        <w:tc>
          <w:tcPr>
            <w:tcW w:type="dxa" w:w="3264"/>
            <w:vAlign w:val="center"/>
          </w:tcPr>
          <w:p>
            <w:r>
              <w:t>Simulated behavior</w:t>
            </w:r>
          </w:p>
        </w:tc>
        <w:tc>
          <w:tcPr>
            <w:tcW w:type="dxa" w:w="3264"/>
            <w:vAlign w:val="center"/>
          </w:tcPr>
          <w:p>
            <w:r>
              <w:t>Expected handling</w:t>
            </w:r>
          </w:p>
        </w:tc>
      </w:tr>
      <w:tr>
        <w:tc>
          <w:tcPr>
            <w:tcW w:type="dxa" w:w="3264"/>
            <w:vAlign w:val="center"/>
          </w:tcPr>
          <w:p>
            <w:r>
              <w:t>SUCCESS</w:t>
            </w:r>
          </w:p>
        </w:tc>
        <w:tc>
          <w:tcPr>
            <w:tcW w:type="dxa" w:w="3264"/>
            <w:vAlign w:val="center"/>
          </w:tcPr>
          <w:p>
            <w:r>
              <w:t>Returns policy_number and provider_reference</w:t>
            </w:r>
          </w:p>
        </w:tc>
        <w:tc>
          <w:tcPr>
            <w:tcW w:type="dxa" w:w="3264"/>
            <w:vAlign w:val="center"/>
          </w:tcPr>
          <w:p>
            <w:r>
              <w:t>Mark ISSUED exactly once</w:t>
            </w:r>
          </w:p>
        </w:tc>
      </w:tr>
      <w:tr>
        <w:tc>
          <w:tcPr>
            <w:tcW w:type="dxa" w:w="3264"/>
            <w:vAlign w:val="center"/>
          </w:tcPr>
          <w:p>
            <w:r>
              <w:t>TEMPORARY_FAILURE</w:t>
            </w:r>
          </w:p>
        </w:tc>
        <w:tc>
          <w:tcPr>
            <w:tcW w:type="dxa" w:w="3264"/>
            <w:vAlign w:val="center"/>
          </w:tcPr>
          <w:p>
            <w:r>
              <w:t>Returns retriable failure</w:t>
            </w:r>
          </w:p>
        </w:tc>
        <w:tc>
          <w:tcPr>
            <w:tcW w:type="dxa" w:w="3264"/>
            <w:vAlign w:val="center"/>
          </w:tcPr>
          <w:p>
            <w:r>
              <w:t>Record failure; retry safely</w:t>
            </w:r>
          </w:p>
        </w:tc>
      </w:tr>
      <w:tr>
        <w:tc>
          <w:tcPr>
            <w:tcW w:type="dxa" w:w="3264"/>
            <w:vAlign w:val="center"/>
          </w:tcPr>
          <w:p>
            <w:r>
              <w:t>TIMEOUT_AFTER_ISSUE</w:t>
            </w:r>
          </w:p>
        </w:tc>
        <w:tc>
          <w:tcPr>
            <w:tcW w:type="dxa" w:w="3264"/>
            <w:vAlign w:val="center"/>
          </w:tcPr>
          <w:p>
            <w:r>
              <w:t>Creates policy internally but client call times out</w:t>
            </w:r>
          </w:p>
        </w:tc>
        <w:tc>
          <w:tcPr>
            <w:tcW w:type="dxa" w:w="3264"/>
            <w:vAlign w:val="center"/>
          </w:tcPr>
          <w:p>
            <w:r>
              <w:t>Check provider status/reconcile before reissue</w:t>
            </w:r>
          </w:p>
        </w:tc>
      </w:tr>
      <w:tr>
        <w:tc>
          <w:tcPr>
            <w:tcW w:type="dxa" w:w="3264"/>
            <w:vAlign w:val="center"/>
          </w:tcPr>
          <w:p>
            <w:r>
              <w:t>DELAYED_CALLBACK</w:t>
            </w:r>
          </w:p>
        </w:tc>
        <w:tc>
          <w:tcPr>
            <w:tcW w:type="dxa" w:w="3264"/>
            <w:vAlign w:val="center"/>
          </w:tcPr>
          <w:p>
            <w:r>
              <w:t>Returns pending; sends later success event</w:t>
            </w:r>
          </w:p>
        </w:tc>
        <w:tc>
          <w:tcPr>
            <w:tcW w:type="dxa" w:w="3264"/>
            <w:vAlign w:val="center"/>
          </w:tcPr>
          <w:p>
            <w:r>
              <w:t>Transition only after confirmed event</w:t>
            </w:r>
          </w:p>
        </w:tc>
      </w:tr>
      <w:tr>
        <w:tc>
          <w:tcPr>
            <w:tcW w:type="dxa" w:w="3264"/>
            <w:vAlign w:val="center"/>
          </w:tcPr>
          <w:p>
            <w:r>
              <w:t>DUPLICATE_CALLBACK</w:t>
            </w:r>
          </w:p>
        </w:tc>
        <w:tc>
          <w:tcPr>
            <w:tcW w:type="dxa" w:w="3264"/>
            <w:vAlign w:val="center"/>
          </w:tcPr>
          <w:p>
            <w:r>
              <w:t>Sends identical event 2–3 times</w:t>
            </w:r>
          </w:p>
        </w:tc>
        <w:tc>
          <w:tcPr>
            <w:tcW w:type="dxa" w:w="3264"/>
            <w:vAlign w:val="center"/>
          </w:tcPr>
          <w:p>
            <w:r>
              <w:t>Apply event only once</w:t>
            </w:r>
          </w:p>
        </w:tc>
      </w:tr>
    </w:tbl>
    <w:p/>
    <w:p>
      <w:r>
        <w:t>The mock should expose a provider status lookup or equivalent reconciliation mechanism so a timeout can be resolved safely. State any simplifying assumptions in your README.</w:t>
      </w:r>
    </w:p>
    <w:p>
      <w:pPr>
        <w:pStyle w:val="Heading1"/>
      </w:pPr>
      <w:r>
        <w:t>6. Data and design expectations</w:t>
      </w:r>
    </w:p>
    <w:p>
      <w:pPr>
        <w:pStyle w:val="ListBullet"/>
      </w:pPr>
      <w:r>
        <w:t>Use migrations for all tables. Suggested entities: policy_requests, issuance_attempts, provider_events, and policy_state_history. You may use a different normalized design.</w:t>
      </w:r>
    </w:p>
    <w:p>
      <w:pPr>
        <w:pStyle w:val="ListBullet"/>
      </w:pPr>
      <w:r>
        <w:t>Enforce key uniqueness in the database, not only in application code. Explain your transaction and concurrency approach.</w:t>
      </w:r>
    </w:p>
    <w:p>
      <w:pPr>
        <w:pStyle w:val="ListBullet"/>
      </w:pPr>
      <w:r>
        <w:t>Record created_at / updated_at and meaningful error details without logging secrets or personal information unnecessarily.</w:t>
      </w:r>
    </w:p>
    <w:p>
      <w:pPr>
        <w:pStyle w:val="ListBullet"/>
      </w:pPr>
      <w:r>
        <w:t>Make state transitions explicit and reject invalid regressions, such as ISSUED → SUBMITTED.</w:t>
      </w:r>
    </w:p>
    <w:p>
      <w:pPr>
        <w:pStyle w:val="ListBullet"/>
      </w:pPr>
      <w:r>
        <w:t>Avoid making repeated provider calls simply because an HTTP request was repeated.</w:t>
      </w:r>
    </w:p>
    <w:p>
      <w:pPr>
        <w:pStyle w:val="Heading1"/>
      </w:pPr>
      <w:r>
        <w:t>7. Optional stretch features (not required)</w:t>
      </w:r>
    </w:p>
    <w:p>
      <w:pPr>
        <w:pStyle w:val="ListBullet"/>
      </w:pPr>
      <w:r>
        <w:t>Bulk CSV intake with row-level error reporting and duplicate handling.</w:t>
      </w:r>
    </w:p>
    <w:p>
      <w:pPr>
        <w:pStyle w:val="ListBullet"/>
      </w:pPr>
      <w:r>
        <w:t>Queue-based asynchronous processing with retry/backoff and dead-letter or failed-job recovery.</w:t>
      </w:r>
    </w:p>
    <w:p>
      <w:pPr>
        <w:pStyle w:val="ListBullet"/>
      </w:pPr>
      <w:r>
        <w:t>A Filament operations dashboard with filters, policy status, failure reasons and authorized retry action.</w:t>
      </w:r>
    </w:p>
    <w:p>
      <w:pPr>
        <w:pStyle w:val="ListBullet"/>
      </w:pPr>
      <w:r>
        <w:t>A reconciliation command that detects stale PENDING_CONFIRMATION requests and queries the mock provider.</w:t>
      </w:r>
    </w:p>
    <w:p>
      <w:pPr>
        <w:pStyle w:val="ListBullet"/>
      </w:pPr>
      <w:r>
        <w:t>Load test demonstrating behavior under 100+ simultaneous requests; report the test setup and limitations.</w:t>
      </w:r>
    </w:p>
    <w:p>
      <w:pPr>
        <w:pStyle w:val="Heading1"/>
      </w:pPr>
      <w:r>
        <w:t>8. Tests and acceptance criteria</w:t>
      </w:r>
    </w:p>
    <w:p>
      <w:r>
        <w:t>Your repository must contain automated tests that can be run by the reviewer. At minimum demonstrate:</w:t>
      </w:r>
    </w:p>
    <w:p>
      <w:pPr>
        <w:pStyle w:val="ListBullet"/>
      </w:pPr>
      <w:r>
        <w:t>Valid request produces expected premium and status.</w:t>
      </w:r>
    </w:p>
    <w:p>
      <w:pPr>
        <w:pStyle w:val="ListBullet"/>
      </w:pPr>
      <w:r>
        <w:t>Invalid travel dates and unsupported plan are rejected.</w:t>
      </w:r>
    </w:p>
    <w:p>
      <w:pPr>
        <w:pStyle w:val="ListBullet"/>
      </w:pPr>
      <w:r>
        <w:t>Repeated agent_id + client_request_id does not create another logical request.</w:t>
      </w:r>
    </w:p>
    <w:p>
      <w:pPr>
        <w:pStyle w:val="ListBullet"/>
      </w:pPr>
      <w:r>
        <w:t>Successful provider response produces exactly one policy number.</w:t>
      </w:r>
    </w:p>
    <w:p>
      <w:pPr>
        <w:pStyle w:val="ListBullet"/>
      </w:pPr>
      <w:r>
        <w:t>Two implemented reliability cases behave safely.</w:t>
      </w:r>
    </w:p>
    <w:p>
      <w:pPr>
        <w:pStyle w:val="ListBullet"/>
      </w:pPr>
      <w:r>
        <w:t>A repeated callback or request cannot overwrite a confirmed ISSUED state (where applicable).</w:t>
      </w:r>
    </w:p>
    <w:p>
      <w:r>
        <w:t>Reviewers may run additional undisclosed tests against the published contract. They may also manually modify the mock insurer response during the interview.</w:t>
      </w:r>
    </w:p>
    <w:p>
      <w:pPr>
        <w:pStyle w:val="Heading1"/>
      </w:pPr>
      <w:r>
        <w:t>9. GitHub submission requirements</w:t>
      </w:r>
    </w:p>
    <w:p>
      <w:r>
        <w:t>Create a repository named policyflow-&lt;your-candidate-id&gt; (replace the placeholder with your assigned candidate ID). Push your complete solution to GitHub and submit the repository URL using the submission channel communicated by HR. A public repository is acceptable; a private repository is also acceptable if reviewer access is granted before the deadline.</w:t>
      </w:r>
    </w:p>
    <w:p>
      <w:r>
        <w:t>Required repository contents:</w:t>
      </w:r>
    </w:p>
    <w:p>
      <w:pPr>
        <w:spacing w:after="160"/>
        <w:ind w:left="216"/>
      </w:pPr>
      <w:r>
        <w:rPr>
          <w:rFonts w:ascii="Consolas" w:hAnsi="Consolas"/>
          <w:color w:val="1E4155"/>
          <w:sz w:val="16"/>
        </w:rPr>
        <w:t>README.md                 # setup, architecture, assumptions, commands</w:t>
        <w:br/>
        <w:t>AI_USAGE.md               # AI tools used and how output was verified</w:t>
        <w:br/>
        <w:t>.env.example              # placeholder configuration only; no credentials</w:t>
        <w:br/>
        <w:t>app/ routes/ database/    # Laravel application and migrations</w:t>
        <w:br/>
        <w:t>tests/                    # runnable automated tests</w:t>
        <w:br/>
        <w:t>examples/                 # sample requests / curl commands (recommended)</w:t>
      </w:r>
    </w:p>
    <w:p>
      <w:pPr>
        <w:pStyle w:val="ListBullet"/>
      </w:pPr>
      <w:r>
        <w:t>README must include exact local setup steps, database setup, test command, API examples, implemented reliability scenarios, and known limitations.</w:t>
      </w:r>
    </w:p>
    <w:p>
      <w:pPr>
        <w:pStyle w:val="ListBullet"/>
      </w:pPr>
      <w:r>
        <w:t>Include a concise architecture explanation (diagram optional) and a brief explanation of the duplicate-prevention strategy.</w:t>
      </w:r>
    </w:p>
    <w:p>
      <w:pPr>
        <w:pStyle w:val="ListBullet"/>
      </w:pPr>
      <w:r>
        <w:t>Make multiple meaningful Git commits. Do not squash the entire assignment into one final commit.</w:t>
      </w:r>
    </w:p>
    <w:p>
      <w:pPr>
        <w:pStyle w:val="ListBullet"/>
      </w:pPr>
      <w:r>
        <w:t>Provide a 3–5 minute screen recording link demonstrating setup or API calls, success, and at least one failure scenario. Video is recommended but not mandatory if bandwidth is limited.</w:t>
      </w:r>
    </w:p>
    <w:p>
      <w:pPr>
        <w:pStyle w:val="ListBullet"/>
      </w:pPr>
      <w:r>
        <w:t>Never commit .env, API keys, access tokens, real customer records, or any other secrets.</w:t>
      </w:r>
    </w:p>
    <w:p>
      <w:pPr>
        <w:pStyle w:val="Heading1"/>
      </w:pPr>
      <w:r>
        <w:t>10. AI usage policy</w:t>
      </w:r>
    </w:p>
    <w:p>
      <w:r>
        <w:t>You may use ChatGPT, Claude, GitHub Copilot, Cursor, search engines, documentation, or other tools. AI use is neither prohibited nor penalized. You remain responsible for every line you submit.</w:t>
      </w:r>
    </w:p>
    <w:p>
      <w:r>
        <w:t>In AI_USAGE.md, briefly disclose: (1) tools used; (2) two or three concrete ways AI helped; (3) at least one incorrect or incomplete suggestion, if encountered; and (4) how you tested or verified the output. Do not submit private chat transcripts or sensitive account details.</w:t>
      </w:r>
    </w:p>
    <w:p>
      <w:r>
        <w:t>During the follow-up interview, you may be asked to explain a function, modify a requirement, or fix a defect in your own implementation.</w:t>
      </w:r>
    </w:p>
    <w:p>
      <w:pPr>
        <w:pStyle w:val="Heading1"/>
      </w:pPr>
      <w:r>
        <w:t>11. Evaluation rubric (100 points)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t>Dimension</w:t>
            </w:r>
          </w:p>
        </w:tc>
        <w:tc>
          <w:tcPr>
            <w:tcW w:type="dxa" w:w="3264"/>
            <w:vAlign w:val="center"/>
          </w:tcPr>
          <w:p>
            <w:r>
              <w:t>Points</w:t>
            </w:r>
          </w:p>
        </w:tc>
        <w:tc>
          <w:tcPr>
            <w:tcW w:type="dxa" w:w="3264"/>
            <w:vAlign w:val="center"/>
          </w:tcPr>
          <w:p>
            <w:r>
              <w:t>What reviewers look for</w:t>
            </w:r>
          </w:p>
        </w:tc>
      </w:tr>
      <w:tr>
        <w:tc>
          <w:tcPr>
            <w:tcW w:type="dxa" w:w="3264"/>
            <w:vAlign w:val="center"/>
          </w:tcPr>
          <w:p>
            <w:r>
              <w:t>Business logic and API correctness</w:t>
            </w:r>
          </w:p>
        </w:tc>
        <w:tc>
          <w:tcPr>
            <w:tcW w:type="dxa" w:w="3264"/>
            <w:vAlign w:val="center"/>
          </w:tcPr>
          <w:p>
            <w:r>
              <w:t>25</w:t>
            </w:r>
          </w:p>
        </w:tc>
        <w:tc>
          <w:tcPr>
            <w:tcW w:type="dxa" w:w="3264"/>
            <w:vAlign w:val="center"/>
          </w:tcPr>
          <w:p>
            <w:r>
              <w:t>Validation, premium, clear API behavior</w:t>
            </w:r>
          </w:p>
        </w:tc>
      </w:tr>
      <w:tr>
        <w:tc>
          <w:tcPr>
            <w:tcW w:type="dxa" w:w="3264"/>
            <w:vAlign w:val="center"/>
          </w:tcPr>
          <w:p>
            <w:r>
              <w:t>Reliability and idempotency</w:t>
            </w:r>
          </w:p>
        </w:tc>
        <w:tc>
          <w:tcPr>
            <w:tcW w:type="dxa" w:w="3264"/>
            <w:vAlign w:val="center"/>
          </w:tcPr>
          <w:p>
            <w:r>
              <w:t>25</w:t>
            </w:r>
          </w:p>
        </w:tc>
        <w:tc>
          <w:tcPr>
            <w:tcW w:type="dxa" w:w="3264"/>
            <w:vAlign w:val="center"/>
          </w:tcPr>
          <w:p>
            <w:r>
              <w:t>Duplicate prevention, safe state changes, retries</w:t>
            </w:r>
          </w:p>
        </w:tc>
      </w:tr>
      <w:tr>
        <w:tc>
          <w:tcPr>
            <w:tcW w:type="dxa" w:w="3264"/>
            <w:vAlign w:val="center"/>
          </w:tcPr>
          <w:p>
            <w:r>
              <w:t>Database and architecture</w:t>
            </w:r>
          </w:p>
        </w:tc>
        <w:tc>
          <w:tcPr>
            <w:tcW w:type="dxa" w:w="3264"/>
            <w:vAlign w:val="center"/>
          </w:tcPr>
          <w:p>
            <w:r>
              <w:t>15</w:t>
            </w:r>
          </w:p>
        </w:tc>
        <w:tc>
          <w:tcPr>
            <w:tcW w:type="dxa" w:w="3264"/>
            <w:vAlign w:val="center"/>
          </w:tcPr>
          <w:p>
            <w:r>
              <w:t>Constraints, transactions, maintainability</w:t>
            </w:r>
          </w:p>
        </w:tc>
      </w:tr>
      <w:tr>
        <w:tc>
          <w:tcPr>
            <w:tcW w:type="dxa" w:w="3264"/>
            <w:vAlign w:val="center"/>
          </w:tcPr>
          <w:p>
            <w:r>
              <w:t>Automated testing</w:t>
            </w:r>
          </w:p>
        </w:tc>
        <w:tc>
          <w:tcPr>
            <w:tcW w:type="dxa" w:w="3264"/>
            <w:vAlign w:val="center"/>
          </w:tcPr>
          <w:p>
            <w:r>
              <w:t>15</w:t>
            </w:r>
          </w:p>
        </w:tc>
        <w:tc>
          <w:tcPr>
            <w:tcW w:type="dxa" w:w="3264"/>
            <w:vAlign w:val="center"/>
          </w:tcPr>
          <w:p>
            <w:r>
              <w:t>Reproducible, meaningful failure tests</w:t>
            </w:r>
          </w:p>
        </w:tc>
      </w:tr>
      <w:tr>
        <w:tc>
          <w:tcPr>
            <w:tcW w:type="dxa" w:w="3264"/>
            <w:vAlign w:val="center"/>
          </w:tcPr>
          <w:p>
            <w:r>
              <w:t>AI usage and verification</w:t>
            </w:r>
          </w:p>
        </w:tc>
        <w:tc>
          <w:tcPr>
            <w:tcW w:type="dxa" w:w="3264"/>
            <w:vAlign w:val="center"/>
          </w:tcPr>
          <w:p>
            <w:r>
              <w:t>10</w:t>
            </w:r>
          </w:p>
        </w:tc>
        <w:tc>
          <w:tcPr>
            <w:tcW w:type="dxa" w:w="3264"/>
            <w:vAlign w:val="center"/>
          </w:tcPr>
          <w:p>
            <w:r>
              <w:t>Transparency, validation, independent judgment</w:t>
            </w:r>
          </w:p>
        </w:tc>
      </w:tr>
      <w:tr>
        <w:tc>
          <w:tcPr>
            <w:tcW w:type="dxa" w:w="3264"/>
            <w:vAlign w:val="center"/>
          </w:tcPr>
          <w:p>
            <w:r>
              <w:t>Technical discussion</w:t>
            </w:r>
          </w:p>
        </w:tc>
        <w:tc>
          <w:tcPr>
            <w:tcW w:type="dxa" w:w="3264"/>
            <w:vAlign w:val="center"/>
          </w:tcPr>
          <w:p>
            <w:r>
              <w:t>10</w:t>
            </w:r>
          </w:p>
        </w:tc>
        <w:tc>
          <w:tcPr>
            <w:tcW w:type="dxa" w:w="3264"/>
            <w:vAlign w:val="center"/>
          </w:tcPr>
          <w:p>
            <w:r>
              <w:t>Can explain decisions and adapt to changes</w:t>
            </w:r>
          </w:p>
        </w:tc>
      </w:tr>
    </w:tbl>
    <w:p/>
    <w:p>
      <w:r>
        <w:t>Completion of stretch features does not compensate for broken mandatory behavior. The employer may shortlist candidates based on overall quality and technical discussion; submission does not guarantee an interview or offer.</w:t>
      </w:r>
    </w:p>
    <w:p>
      <w:pPr>
        <w:pStyle w:val="Heading1"/>
      </w:pPr>
      <w:r>
        <w:t>12. Delivery timeline and fairness</w:t>
      </w:r>
    </w:p>
    <w:p>
      <w:pPr>
        <w:pStyle w:val="ListBullet"/>
      </w:pPr>
      <w:r>
        <w:t>The 48-hour window begins when HR shares the assignment. Submit the repository link before the communicated deadline, with the final commit timestamp visible.</w:t>
      </w:r>
    </w:p>
    <w:p>
      <w:pPr>
        <w:pStyle w:val="ListBullet"/>
      </w:pPr>
      <w:r>
        <w:t>Expected effort is 8–12 hours. Prioritize correctness over appearance; a polished UI is not required.</w:t>
      </w:r>
    </w:p>
    <w:p>
      <w:pPr>
        <w:pStyle w:val="ListBullet"/>
      </w:pPr>
      <w:r>
        <w:t>If a requirement is ambiguous, document a reasonable assumption and proceed. Clarification questions may be sent through the HR-designated channel.</w:t>
      </w:r>
    </w:p>
    <w:p>
      <w:pPr>
        <w:pStyle w:val="ListBullet"/>
      </w:pPr>
      <w:r>
        <w:t>You must work individually. Reusing open-source packages is permitted with attribution; submitting another candidate’s work is not.</w:t>
      </w:r>
    </w:p>
    <w:p>
      <w:pPr>
        <w:pStyle w:val="Heading1"/>
      </w:pPr>
      <w:r>
        <w:t>13. Final submission checklist</w:t>
      </w:r>
    </w:p>
    <w:p>
      <w:pPr>
        <w:pStyle w:val="ListBullet"/>
      </w:pPr>
      <w:r>
        <w:t>☐ Repository link accessible to reviewers</w:t>
      </w:r>
    </w:p>
    <w:p>
      <w:pPr>
        <w:pStyle w:val="ListBullet"/>
      </w:pPr>
      <w:r>
        <w:t>☐ README contains working setup and test commands</w:t>
      </w:r>
    </w:p>
    <w:p>
      <w:pPr>
        <w:pStyle w:val="ListBullet"/>
      </w:pPr>
      <w:r>
        <w:t>☐ Migrations and .env.example included</w:t>
      </w:r>
    </w:p>
    <w:p>
      <w:pPr>
        <w:pStyle w:val="ListBullet"/>
      </w:pPr>
      <w:r>
        <w:t>☐ Core API and pricing implemented</w:t>
      </w:r>
    </w:p>
    <w:p>
      <w:pPr>
        <w:pStyle w:val="ListBullet"/>
      </w:pPr>
      <w:r>
        <w:t>☐ At least two failure scenarios implemented and tested</w:t>
      </w:r>
    </w:p>
    <w:p>
      <w:pPr>
        <w:pStyle w:val="ListBullet"/>
      </w:pPr>
      <w:r>
        <w:t>☐ AI_USAGE.md included</w:t>
      </w:r>
    </w:p>
    <w:p>
      <w:pPr>
        <w:pStyle w:val="ListBullet"/>
      </w:pPr>
      <w:r>
        <w:t>☐ No secrets or real personal data committed</w:t>
      </w:r>
    </w:p>
    <w:p>
      <w:pPr>
        <w:pStyle w:val="ListBullet"/>
      </w:pPr>
      <w:r>
        <w:t>☐ Known limitations documented</w:t>
      </w:r>
    </w:p>
    <w:p>
      <w:r>
        <w:t>End of candidate assignment.</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Candidate assignment  •  Fictional test environment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TRIPPERSSHIELD  /  CAMPUS ENGINEERING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54C"/>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8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54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