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pStyle w:val="3"/>
        <w:spacing w:before="0" w:after="120" w:line="275" w:lineRule="auto"/>
        <w:jc w:val="center"/>
        <w:rPr>
          <w:rFonts w:hint="default" w:ascii="Calibri" w:hAnsi="Calibri" w:eastAsia="Google Sans" w:cs="Calibri"/>
          <w:color w:val="1B1C1D"/>
          <w:sz w:val="30"/>
          <w:szCs w:val="30"/>
        </w:rPr>
      </w:pPr>
      <w:r>
        <w:rPr>
          <w:rFonts w:hint="default" w:ascii="Calibri" w:hAnsi="Calibri" w:eastAsia="Google Sans" w:cs="Calibri"/>
          <w:color w:val="1B1C1D"/>
          <w:sz w:val="32"/>
          <w:szCs w:val="32"/>
        </w:rPr>
        <w:t xml:space="preserve"> Review of Indian Stock Market Performance in FY 2024-25</w:t>
      </w:r>
    </w:p>
    <w:p w14:paraId="6C702C65">
      <w:pPr>
        <w:spacing w:after="240" w:line="275" w:lineRule="auto"/>
        <w:rPr>
          <w:rFonts w:hint="default" w:ascii="Calibri" w:hAnsi="Calibri" w:eastAsia="Google Sans Text" w:cs="Calibri"/>
          <w:b/>
          <w:bCs/>
          <w:color w:val="1B1C1D"/>
          <w:sz w:val="24"/>
          <w:szCs w:val="24"/>
          <w:u w:val="single"/>
        </w:rPr>
      </w:pPr>
    </w:p>
    <w:p w14:paraId="6127DFFD">
      <w:pPr>
        <w:spacing w:after="240" w:line="275" w:lineRule="auto"/>
        <w:rPr>
          <w:rFonts w:hint="default" w:ascii="Calibri" w:hAnsi="Calibri" w:eastAsia="Google Sans Text" w:cs="Calibri"/>
          <w:b/>
          <w:bCs/>
          <w:color w:val="1B1C1D"/>
          <w:sz w:val="28"/>
          <w:szCs w:val="28"/>
          <w:u w:val="single"/>
        </w:rPr>
      </w:pPr>
      <w:r>
        <w:rPr>
          <w:rFonts w:hint="default" w:ascii="Calibri" w:hAnsi="Calibri" w:eastAsia="Google Sans Text" w:cs="Calibri"/>
          <w:b/>
          <w:bCs/>
          <w:color w:val="1B1C1D"/>
          <w:sz w:val="28"/>
          <w:szCs w:val="28"/>
          <w:u w:val="single"/>
        </w:rPr>
        <w:t>INTRODUCTION</w:t>
      </w:r>
    </w:p>
    <w:p w14:paraId="66110EA4">
      <w:pPr>
        <w:pStyle w:val="13"/>
        <w:keepNext w:val="0"/>
        <w:keepLines w:val="0"/>
        <w:widowControl/>
        <w:suppressLineNumbers w:val="0"/>
        <w:rPr>
          <w:rFonts w:hint="default" w:ascii="Calibri" w:hAnsi="Calibri" w:cs="Calibri"/>
          <w:lang w:val="en-IN"/>
        </w:rPr>
      </w:pPr>
      <w:r>
        <w:rPr>
          <w:rFonts w:hint="default" w:ascii="Calibri" w:hAnsi="Calibri" w:cs="Calibri"/>
        </w:rPr>
        <w:t xml:space="preserve">The </w:t>
      </w:r>
      <w:r>
        <w:rPr>
          <w:rFonts w:hint="default" w:ascii="Calibri" w:hAnsi="Calibri" w:cs="Calibri"/>
          <w:lang w:val="en-IN"/>
        </w:rPr>
        <w:t>aim is to do an</w:t>
      </w:r>
      <w:r>
        <w:rPr>
          <w:rFonts w:hint="default" w:ascii="Calibri" w:hAnsi="Calibri" w:cs="Calibri"/>
        </w:rPr>
        <w:t xml:space="preserve"> end-to-end data analysis project </w:t>
      </w:r>
      <w:r>
        <w:rPr>
          <w:rFonts w:hint="default" w:ascii="Calibri" w:hAnsi="Calibri" w:cs="Calibri"/>
          <w:lang w:val="en-IN"/>
        </w:rPr>
        <w:t xml:space="preserve">and Indian stock market seemed a perfect subject </w:t>
      </w:r>
      <w:r>
        <w:rPr>
          <w:rFonts w:hint="default" w:ascii="Calibri" w:hAnsi="Calibri" w:cs="Calibri"/>
        </w:rPr>
        <w:t>due to its dynamic, complex, and highly volatile nature, sensitive to both micro and macro-level events</w:t>
      </w:r>
      <w:r>
        <w:rPr>
          <w:rFonts w:hint="default" w:ascii="Calibri" w:hAnsi="Calibri" w:cs="Calibri"/>
          <w:lang w:val="en-IN"/>
        </w:rPr>
        <w:t>, all of which can be simplified and explained alone by statistical and data science tools and techniques</w:t>
      </w:r>
      <w:r>
        <w:rPr>
          <w:rFonts w:hint="default" w:ascii="Calibri" w:hAnsi="Calibri" w:cs="Calibri"/>
        </w:rPr>
        <w:t xml:space="preserve">. </w:t>
      </w:r>
      <w:r>
        <w:rPr>
          <w:rFonts w:hint="default" w:ascii="Calibri" w:hAnsi="Calibri" w:cs="Calibri"/>
          <w:lang w:val="en-IN"/>
        </w:rPr>
        <w:t xml:space="preserve">Also, </w:t>
      </w:r>
      <w:r>
        <w:rPr>
          <w:rFonts w:hint="default" w:ascii="Calibri" w:hAnsi="Calibri" w:cs="Calibri"/>
        </w:rPr>
        <w:t xml:space="preserve">Its inherent value in monitoring and predicting short-term movements makes it a </w:t>
      </w:r>
      <w:r>
        <w:rPr>
          <w:rFonts w:hint="default" w:ascii="Calibri" w:hAnsi="Calibri" w:cs="Calibri"/>
          <w:lang w:val="en-IN"/>
        </w:rPr>
        <w:t>useful and worthy real time study</w:t>
      </w:r>
      <w:r>
        <w:rPr>
          <w:rFonts w:hint="default" w:ascii="Calibri" w:hAnsi="Calibri" w:cs="Calibri"/>
        </w:rPr>
        <w:t xml:space="preserve">. This project </w:t>
      </w:r>
      <w:r>
        <w:rPr>
          <w:rFonts w:hint="default" w:ascii="Calibri" w:hAnsi="Calibri" w:cs="Calibri"/>
          <w:lang w:val="en-IN"/>
        </w:rPr>
        <w:t>aims to navigate the audience through the overwhelming chaotic journey yet give a picture of what’s happened in this journey</w:t>
      </w:r>
      <w:r>
        <w:rPr>
          <w:rFonts w:hint="default" w:ascii="Calibri" w:hAnsi="Calibri" w:cs="Calibri"/>
        </w:rPr>
        <w:t xml:space="preserve">. As a key indicator of the Indian economy, reflecting economic health, investor sentiment, and policy impacts, this report </w:t>
      </w:r>
      <w:r>
        <w:rPr>
          <w:rFonts w:hint="default" w:ascii="Calibri" w:hAnsi="Calibri" w:cs="Calibri"/>
          <w:lang w:val="en-IN"/>
        </w:rPr>
        <w:t>is created keeping in mind the general audience curious about stock market and data professionals who appreciates data driven storytelling</w:t>
      </w:r>
      <w:r>
        <w:rPr>
          <w:rFonts w:hint="default" w:ascii="Calibri" w:hAnsi="Calibri" w:cs="Calibri"/>
        </w:rPr>
        <w:t>.</w:t>
      </w:r>
      <w:r>
        <w:rPr>
          <w:rFonts w:hint="default" w:ascii="Calibri" w:hAnsi="Calibri" w:cs="Calibri"/>
          <w:lang w:val="en-IN"/>
        </w:rPr>
        <w:t xml:space="preserve"> We are a team of three, S Lakshman Kumar, Ch Akshitha and Amit Jena. This project is our first step into the world of data journalism.</w:t>
      </w:r>
    </w:p>
    <w:p w14:paraId="73F2993B">
      <w:pPr>
        <w:pStyle w:val="13"/>
        <w:keepNext w:val="0"/>
        <w:keepLines w:val="0"/>
        <w:widowControl/>
        <w:suppressLineNumbers w:val="0"/>
        <w:rPr>
          <w:rFonts w:hint="default" w:ascii="Calibri" w:hAnsi="Calibri" w:eastAsia="Google Sans Text" w:cs="Calibri"/>
          <w:b/>
          <w:bCs/>
          <w:color w:val="1B1C1D"/>
          <w:sz w:val="28"/>
          <w:szCs w:val="28"/>
          <w:u w:val="single"/>
        </w:rPr>
      </w:pPr>
      <w:r>
        <w:rPr>
          <w:rFonts w:hint="default" w:ascii="Calibri" w:hAnsi="Calibri" w:cs="Calibri"/>
          <w:lang w:val="en-IN"/>
        </w:rPr>
        <w:t>As already mentioned, this is an end-to-end Data Analysis project that begins with defining the goals and objectives of the project up to displaying the results</w:t>
      </w:r>
      <w:r>
        <w:rPr>
          <w:rFonts w:hint="default" w:ascii="Calibri" w:hAnsi="Calibri" w:cs="Calibri"/>
        </w:rPr>
        <w:t xml:space="preserve">. It begins with a research phase to define the problem statement, establish measurable goals, outline the project's scope, and determine necessary data. </w:t>
      </w:r>
      <w:r>
        <w:rPr>
          <w:rFonts w:hint="default" w:ascii="Calibri" w:hAnsi="Calibri" w:cs="Calibri"/>
          <w:lang w:val="en-IN"/>
        </w:rPr>
        <w:t>Then, the data is collected from the internet, first from authorized sources or regulatory agencies like SEBI, NSE, BSE etc and when insufficient, from reliable financial sources like capitalmarket, moneycontrol, groww etc in different formats (as available in the websites).</w:t>
      </w:r>
      <w:r>
        <w:rPr>
          <w:rFonts w:hint="default" w:ascii="Calibri" w:hAnsi="Calibri" w:cs="Calibri"/>
        </w:rPr>
        <w:t xml:space="preserve"> The collected data </w:t>
      </w:r>
      <w:r>
        <w:rPr>
          <w:rFonts w:hint="default" w:ascii="Calibri" w:hAnsi="Calibri" w:cs="Calibri"/>
          <w:lang w:val="en-IN"/>
        </w:rPr>
        <w:t>is then cleaned, transformed and combined to make the data compatible to the tools of analysis</w:t>
      </w:r>
      <w:r>
        <w:rPr>
          <w:rFonts w:hint="default" w:ascii="Calibri" w:hAnsi="Calibri" w:cs="Calibri"/>
        </w:rPr>
        <w:t xml:space="preserve">. Exploratory data analysis </w:t>
      </w:r>
      <w:r>
        <w:rPr>
          <w:rFonts w:hint="default" w:ascii="Calibri" w:hAnsi="Calibri" w:cs="Calibri"/>
          <w:lang w:val="en-IN"/>
        </w:rPr>
        <w:t>gives us preliminary understanding of the data</w:t>
      </w:r>
      <w:r>
        <w:rPr>
          <w:rFonts w:hint="default" w:ascii="Calibri" w:hAnsi="Calibri" w:cs="Calibri"/>
        </w:rPr>
        <w:t xml:space="preserve">, </w:t>
      </w:r>
      <w:r>
        <w:rPr>
          <w:rFonts w:hint="default" w:ascii="Calibri" w:hAnsi="Calibri" w:cs="Calibri"/>
          <w:lang w:val="en-IN"/>
        </w:rPr>
        <w:t xml:space="preserve">followed by further analysis and presented </w:t>
      </w:r>
      <w:r>
        <w:rPr>
          <w:rFonts w:hint="default" w:ascii="Calibri" w:hAnsi="Calibri" w:cs="Calibri"/>
        </w:rPr>
        <w:t xml:space="preserve">with compelling visualizations created in Power BI to effectively communicate findings. Finally, all insights are </w:t>
      </w:r>
      <w:r>
        <w:rPr>
          <w:rFonts w:hint="default" w:ascii="Calibri" w:hAnsi="Calibri" w:cs="Calibri"/>
          <w:lang w:val="en-IN"/>
        </w:rPr>
        <w:t>documented</w:t>
      </w:r>
      <w:r>
        <w:rPr>
          <w:rFonts w:hint="default" w:ascii="Calibri" w:hAnsi="Calibri" w:cs="Calibri"/>
        </w:rPr>
        <w:t xml:space="preserve"> into this comprehensive report, detailing the key movements, underlying factors, and future outlook of the Indian stock market in FY 2024-25.</w:t>
      </w:r>
    </w:p>
    <w:p w14:paraId="398E0A9F">
      <w:pPr>
        <w:spacing w:after="120"/>
        <w:rPr>
          <w:rFonts w:hint="default" w:ascii="Calibri" w:hAnsi="Calibri" w:eastAsia="Google Sans Text" w:cs="Calibri"/>
          <w:b/>
          <w:bCs/>
          <w:color w:val="1B1C1D"/>
          <w:sz w:val="28"/>
          <w:szCs w:val="28"/>
          <w:u w:val="single"/>
        </w:rPr>
      </w:pPr>
      <w:r>
        <w:rPr>
          <w:rFonts w:hint="default" w:ascii="Calibri" w:hAnsi="Calibri" w:eastAsia="Google Sans Text" w:cs="Calibri"/>
          <w:b/>
          <w:bCs/>
          <w:color w:val="1B1C1D"/>
          <w:sz w:val="28"/>
          <w:szCs w:val="28"/>
          <w:u w:val="single"/>
        </w:rPr>
        <w:t>STAGES:</w:t>
      </w:r>
    </w:p>
    <w:p w14:paraId="46F6815D">
      <w:pPr>
        <w:numPr>
          <w:ilvl w:val="0"/>
          <w:numId w:val="1"/>
        </w:numPr>
        <w:spacing w:after="120"/>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Research (Define problem statement and scope of the project)</w:t>
      </w:r>
    </w:p>
    <w:p w14:paraId="398C3C4D">
      <w:pPr>
        <w:numPr>
          <w:ilvl w:val="0"/>
          <w:numId w:val="1"/>
        </w:numPr>
        <w:spacing w:after="120"/>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 xml:space="preserve"> Data Collection &amp; Processing</w:t>
      </w:r>
    </w:p>
    <w:p w14:paraId="4D5CEA82">
      <w:pPr>
        <w:numPr>
          <w:ilvl w:val="0"/>
          <w:numId w:val="1"/>
        </w:numPr>
        <w:spacing w:after="120"/>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Data Analysis &amp; Visualization</w:t>
      </w:r>
    </w:p>
    <w:p w14:paraId="15B61586">
      <w:pPr>
        <w:numPr>
          <w:ilvl w:val="0"/>
          <w:numId w:val="1"/>
        </w:numPr>
        <w:spacing w:after="120"/>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Conclusion (present the findings and insights)</w:t>
      </w:r>
      <w:r>
        <w:rPr>
          <w:rFonts w:hint="default" w:ascii="Calibri" w:hAnsi="Calibri" w:eastAsia="Google Sans Text" w:cs="Calibri"/>
          <w:color w:val="1B1C1D"/>
          <w:sz w:val="24"/>
          <w:szCs w:val="24"/>
        </w:rPr>
        <w:br w:type="textWrapping"/>
      </w:r>
    </w:p>
    <w:p w14:paraId="1DFC1697">
      <w:pPr>
        <w:numPr>
          <w:ilvl w:val="0"/>
          <w:numId w:val="2"/>
        </w:numPr>
        <w:spacing w:after="240" w:line="275" w:lineRule="auto"/>
        <w:rPr>
          <w:rFonts w:hint="default" w:ascii="Calibri" w:hAnsi="Calibri" w:eastAsia="Google Sans Text" w:cs="Calibri"/>
          <w:b/>
          <w:bCs/>
          <w:color w:val="1B1C1D"/>
          <w:sz w:val="24"/>
          <w:szCs w:val="24"/>
          <w:u w:val="single"/>
        </w:rPr>
      </w:pPr>
      <w:r>
        <w:rPr>
          <w:rFonts w:hint="default" w:ascii="Calibri" w:hAnsi="Calibri" w:eastAsia="Google Sans Text" w:cs="Calibri"/>
          <w:b/>
          <w:bCs/>
          <w:color w:val="1B1C1D"/>
          <w:sz w:val="24"/>
          <w:szCs w:val="24"/>
          <w:u w:val="single"/>
        </w:rPr>
        <w:t>Research:</w:t>
      </w:r>
    </w:p>
    <w:p w14:paraId="35A4410D">
      <w:pPr>
        <w:spacing w:after="120" w:line="276"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This stage is about setting the goals and objectives to be achieved  by the end of this project as well as setting the scope.</w:t>
      </w:r>
    </w:p>
    <w:p w14:paraId="7B69B74A">
      <w:pPr>
        <w:spacing w:after="120" w:line="276"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 xml:space="preserve">As we stated, the title and objective of this project is to “review the performance of Indian stock market for the Financial year 2024-25”. But how? Let’s frame the objective in form of a question to which we can find out the answer. </w:t>
      </w:r>
    </w:p>
    <w:p w14:paraId="61D55BF4">
      <w:pPr>
        <w:spacing w:after="120" w:line="276"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“Is the annual performance of Indian stock market during FY 2024-25 good or bad?”</w:t>
      </w:r>
    </w:p>
    <w:p w14:paraId="18E39889">
      <w:pPr>
        <w:spacing w:after="120" w:line="276"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Honestly, this simple abstract question doesn’t have a straight and short answer</w:t>
      </w:r>
      <w:r>
        <w:rPr>
          <w:rFonts w:hint="default" w:ascii="Calibri" w:hAnsi="Calibri" w:eastAsia="Google Sans Text" w:cs="Calibri"/>
          <w:color w:val="1B1C1D"/>
          <w:sz w:val="24"/>
          <w:szCs w:val="24"/>
          <w:lang w:val="en-IN"/>
        </w:rPr>
        <w:t xml:space="preserve"> or is dependent on multiple factors and so is multi-dimensional and varies from observer to observer</w:t>
      </w:r>
      <w:r>
        <w:rPr>
          <w:rFonts w:hint="default" w:ascii="Calibri" w:hAnsi="Calibri" w:eastAsia="Google Sans Text" w:cs="Calibri"/>
          <w:color w:val="1B1C1D"/>
          <w:sz w:val="24"/>
          <w:szCs w:val="24"/>
        </w:rPr>
        <w:t>. Then comes the right question</w:t>
      </w:r>
      <w:r>
        <w:rPr>
          <w:rFonts w:hint="default" w:ascii="Calibri" w:hAnsi="Calibri" w:eastAsia="Google Sans Text" w:cs="Calibri"/>
          <w:color w:val="1B1C1D"/>
          <w:sz w:val="24"/>
          <w:szCs w:val="24"/>
          <w:lang w:val="en-IN"/>
        </w:rPr>
        <w:t>s</w:t>
      </w:r>
      <w:r>
        <w:rPr>
          <w:rFonts w:hint="default" w:ascii="Calibri" w:hAnsi="Calibri" w:eastAsia="Google Sans Text" w:cs="Calibri"/>
          <w:color w:val="1B1C1D"/>
          <w:sz w:val="24"/>
          <w:szCs w:val="24"/>
        </w:rPr>
        <w:t xml:space="preserve">. </w:t>
      </w:r>
    </w:p>
    <w:p w14:paraId="7DF74ACA">
      <w:pPr>
        <w:spacing w:after="120" w:line="276"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“What set of questions gives us sufficient information to answer the above question? Are there reports that worked to answer these questions in the past by the recognized authorities and government agencies?”</w:t>
      </w:r>
    </w:p>
    <w:p w14:paraId="4CFCE3E7">
      <w:pPr>
        <w:spacing w:after="120" w:line="276"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We’ve leveraged the advantages of AI (Google Gemini and OpenAI’s chatgpt to be specific) in the primary stage, collected the relevant information as well as the sources that answer our question.</w:t>
      </w:r>
      <w:r>
        <w:rPr>
          <w:rFonts w:hint="default" w:ascii="Calibri" w:hAnsi="Calibri" w:eastAsia="Google Sans Text" w:cs="Calibri"/>
          <w:color w:val="1B1C1D"/>
          <w:sz w:val="24"/>
          <w:szCs w:val="24"/>
          <w:lang w:val="en-IN"/>
        </w:rPr>
        <w:t xml:space="preserve"> </w:t>
      </w:r>
      <w:r>
        <w:rPr>
          <w:rFonts w:hint="default" w:ascii="Calibri" w:hAnsi="Calibri" w:eastAsia="Google Sans Text" w:cs="Calibri"/>
          <w:color w:val="1B1C1D"/>
          <w:sz w:val="24"/>
          <w:szCs w:val="24"/>
        </w:rPr>
        <w:t>We have gone through SEBI annual report and we found that the breadth of their report extends beyond the scope of our project but that report proved sufficient enough to define the scope of our project and narrow down the questions we aim to answer through this report.</w:t>
      </w:r>
    </w:p>
    <w:p w14:paraId="2851570A">
      <w:pPr>
        <w:spacing w:after="120" w:line="276"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The set of questions we have come up (after listing many and eliminating those irrelevant to the objective or are beyond the scope)</w:t>
      </w:r>
    </w:p>
    <w:p w14:paraId="7A569D55">
      <w:pPr>
        <w:numPr>
          <w:ilvl w:val="0"/>
          <w:numId w:val="3"/>
        </w:numPr>
        <w:spacing w:after="120" w:line="276" w:lineRule="auto"/>
        <w:ind w:left="216" w:leftChars="0" w:hanging="216" w:hangingChars="90"/>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How did the primary indices (BSE SENSEX, NSE NITY50) perform in the Financial Year (in               terms of Market Cap, Index Price value etc)?</w:t>
      </w:r>
    </w:p>
    <w:p w14:paraId="2A9644EE">
      <w:pPr>
        <w:numPr>
          <w:ilvl w:val="0"/>
          <w:numId w:val="3"/>
        </w:numPr>
        <w:spacing w:after="120" w:line="276" w:lineRule="auto"/>
        <w:ind w:left="216" w:leftChars="0" w:hanging="216" w:hangingChars="90"/>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What were the sectors and segments that ended up bullish or bearish by the end of the year?</w:t>
      </w:r>
    </w:p>
    <w:p w14:paraId="610C5D6F">
      <w:pPr>
        <w:numPr>
          <w:ilvl w:val="0"/>
          <w:numId w:val="3"/>
        </w:numPr>
        <w:spacing w:after="120" w:line="276" w:lineRule="auto"/>
        <w:ind w:left="216" w:leftChars="0" w:hanging="216" w:hangingChars="90"/>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How is the market breadth (Advances-Decliners ratio) across the year?</w:t>
      </w:r>
    </w:p>
    <w:p w14:paraId="6489C6BB">
      <w:pPr>
        <w:numPr>
          <w:ilvl w:val="0"/>
          <w:numId w:val="3"/>
        </w:numPr>
        <w:spacing w:after="120" w:line="276" w:lineRule="auto"/>
        <w:ind w:left="216" w:leftChars="0" w:hanging="216" w:hangingChars="90"/>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What’s the impact of macro-economic indicators (national and global economic events) on Indian stock market?</w:t>
      </w:r>
    </w:p>
    <w:p w14:paraId="5298E714">
      <w:pPr>
        <w:numPr>
          <w:ilvl w:val="0"/>
          <w:numId w:val="3"/>
        </w:numPr>
        <w:spacing w:after="120" w:line="276" w:lineRule="auto"/>
        <w:ind w:left="216" w:leftChars="0" w:hanging="216" w:hangingChars="90"/>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 xml:space="preserve">What is the institutional sentiment (both domestic and foreign) of the stock market this year? </w:t>
      </w:r>
    </w:p>
    <w:p w14:paraId="5FDE4890">
      <w:pPr>
        <w:numPr>
          <w:ilvl w:val="0"/>
          <w:numId w:val="3"/>
        </w:numPr>
        <w:spacing w:after="120" w:line="276" w:lineRule="auto"/>
        <w:ind w:left="216" w:leftChars="0" w:hanging="216" w:hangingChars="90"/>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What do the IPO statistics reveal about the state of encouragement of business activity?</w:t>
      </w:r>
    </w:p>
    <w:p w14:paraId="350D4C1D">
      <w:pPr>
        <w:spacing w:before="120" w:after="240" w:line="275"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lang w:val="en-IN"/>
        </w:rPr>
        <w:t xml:space="preserve">As mentioned, the scope of this project is limited to the above objectives. </w:t>
      </w:r>
      <w:r>
        <w:rPr>
          <w:rFonts w:hint="default" w:ascii="Calibri" w:hAnsi="Calibri" w:eastAsia="Google Sans Text" w:cs="Calibri"/>
          <w:color w:val="1B1C1D"/>
          <w:sz w:val="24"/>
          <w:szCs w:val="24"/>
        </w:rPr>
        <w:t xml:space="preserve">By examining these areas, this report seeks to provide a </w:t>
      </w:r>
      <w:r>
        <w:rPr>
          <w:rFonts w:hint="default" w:ascii="Calibri" w:hAnsi="Calibri" w:eastAsia="Google Sans Text" w:cs="Calibri"/>
          <w:color w:val="1B1C1D"/>
          <w:sz w:val="24"/>
          <w:szCs w:val="24"/>
          <w:lang w:val="en-IN"/>
        </w:rPr>
        <w:t>good</w:t>
      </w:r>
      <w:r>
        <w:rPr>
          <w:rFonts w:hint="default" w:ascii="Calibri" w:hAnsi="Calibri" w:eastAsia="Google Sans Text" w:cs="Calibri"/>
          <w:color w:val="1B1C1D"/>
          <w:sz w:val="24"/>
          <w:szCs w:val="24"/>
        </w:rPr>
        <w:t xml:space="preserve"> understanding of the Indian stock market's performance in FY 2024-25, offering valuable insights and context to the retail investors</w:t>
      </w:r>
      <w:r>
        <w:rPr>
          <w:rFonts w:hint="default" w:ascii="Calibri" w:hAnsi="Calibri" w:eastAsia="Google Sans Text" w:cs="Calibri"/>
          <w:color w:val="1B1C1D"/>
          <w:sz w:val="24"/>
          <w:szCs w:val="24"/>
          <w:lang w:val="en-IN"/>
        </w:rPr>
        <w:t xml:space="preserve"> and everyone interested in understanding the trajectory of Indian stock market</w:t>
      </w:r>
      <w:r>
        <w:rPr>
          <w:rFonts w:hint="default" w:ascii="Calibri" w:hAnsi="Calibri" w:eastAsia="Google Sans Text" w:cs="Calibri"/>
          <w:color w:val="1B1C1D"/>
          <w:sz w:val="24"/>
          <w:szCs w:val="24"/>
        </w:rPr>
        <w:t xml:space="preserve">. </w:t>
      </w:r>
    </w:p>
    <w:p w14:paraId="0000000C">
      <w:pPr>
        <w:spacing w:before="120" w:after="240" w:line="275"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lang w:val="en-IN"/>
        </w:rPr>
        <w:t>The above six questions inform us what data we needed to collect. We’ll go further to the next stage where our aim is to collect the data required to answer these questions.</w:t>
      </w:r>
      <w:r>
        <w:rPr>
          <w:rFonts w:hint="default" w:ascii="Calibri" w:hAnsi="Calibri" w:eastAsia="Google Sans Text" w:cs="Calibri"/>
          <w:color w:val="1B1C1D"/>
          <w:sz w:val="24"/>
          <w:szCs w:val="24"/>
        </w:rPr>
        <w:br w:type="textWrapping"/>
      </w:r>
    </w:p>
    <w:p w14:paraId="1B00AAE0">
      <w:pPr>
        <w:numPr>
          <w:ilvl w:val="0"/>
          <w:numId w:val="2"/>
        </w:numPr>
        <w:spacing w:before="120" w:after="120" w:line="276" w:lineRule="auto"/>
        <w:rPr>
          <w:rFonts w:hint="default" w:ascii="Calibri" w:hAnsi="Calibri" w:eastAsia="Google Sans Text" w:cs="Calibri"/>
          <w:color w:val="1B1C1D"/>
          <w:sz w:val="28"/>
          <w:szCs w:val="28"/>
        </w:rPr>
      </w:pPr>
      <w:r>
        <w:rPr>
          <w:rFonts w:hint="default" w:ascii="Calibri" w:hAnsi="Calibri" w:eastAsia="Google Sans Text" w:cs="Calibri"/>
          <w:b/>
          <w:bCs/>
          <w:color w:val="1B1C1D"/>
          <w:sz w:val="28"/>
          <w:szCs w:val="28"/>
          <w:u w:val="single"/>
        </w:rPr>
        <w:t>Data Collection &amp; Processing</w:t>
      </w:r>
    </w:p>
    <w:p w14:paraId="27449955">
      <w:pPr>
        <w:spacing w:before="120" w:after="240" w:line="275" w:lineRule="auto"/>
        <w:rPr>
          <w:rFonts w:hint="default" w:ascii="Calibri" w:hAnsi="Calibri" w:eastAsia="Google Sans Text" w:cs="Calibri"/>
          <w:b w:val="0"/>
          <w:bCs w:val="0"/>
          <w:color w:val="1B1C1D"/>
          <w:sz w:val="24"/>
          <w:szCs w:val="24"/>
          <w:lang w:val="en-IN"/>
        </w:rPr>
      </w:pPr>
      <w:r>
        <w:rPr>
          <w:rFonts w:hint="default" w:ascii="Calibri" w:hAnsi="Calibri" w:eastAsia="Google Sans Text" w:cs="Calibri"/>
          <w:color w:val="1B1C1D"/>
          <w:sz w:val="24"/>
          <w:szCs w:val="24"/>
          <w:lang w:val="en-IN"/>
        </w:rPr>
        <w:t xml:space="preserve">In this phase, we browse internet to collect the necessary data. The list of websites from which we obtained the data is specified in the </w:t>
      </w:r>
      <w:r>
        <w:rPr>
          <w:rFonts w:hint="default" w:ascii="Calibri" w:hAnsi="Calibri" w:eastAsia="Google Sans Text" w:cs="Calibri"/>
          <w:b/>
          <w:bCs/>
          <w:color w:val="1B1C1D"/>
          <w:sz w:val="24"/>
          <w:szCs w:val="24"/>
          <w:lang w:val="en-IN"/>
        </w:rPr>
        <w:t xml:space="preserve">Data Sources </w:t>
      </w:r>
      <w:r>
        <w:rPr>
          <w:rFonts w:hint="default" w:ascii="Calibri" w:hAnsi="Calibri" w:eastAsia="Google Sans Text" w:cs="Calibri"/>
          <w:b w:val="0"/>
          <w:bCs w:val="0"/>
          <w:color w:val="1B1C1D"/>
          <w:sz w:val="24"/>
          <w:szCs w:val="24"/>
          <w:lang w:val="en-IN"/>
        </w:rPr>
        <w:t>section at the end. Here, we discuss the challenges we faced during this phase.</w:t>
      </w:r>
    </w:p>
    <w:p w14:paraId="5977B8EB">
      <w:pPr>
        <w:spacing w:before="120" w:after="240" w:line="275"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We began</w:t>
      </w:r>
      <w:r>
        <w:rPr>
          <w:rFonts w:hint="default" w:ascii="Calibri" w:hAnsi="Calibri" w:eastAsia="Google Sans Text" w:cs="Calibri"/>
          <w:color w:val="1B1C1D"/>
          <w:sz w:val="24"/>
          <w:szCs w:val="24"/>
        </w:rPr>
        <w:t xml:space="preserve"> gathering </w:t>
      </w:r>
      <w:r>
        <w:rPr>
          <w:rFonts w:hint="default" w:ascii="Calibri" w:hAnsi="Calibri" w:eastAsia="Google Sans Text" w:cs="Calibri"/>
          <w:color w:val="1B1C1D"/>
          <w:sz w:val="24"/>
          <w:szCs w:val="24"/>
          <w:lang w:val="en-IN"/>
        </w:rPr>
        <w:t xml:space="preserve">the </w:t>
      </w:r>
      <w:r>
        <w:rPr>
          <w:rFonts w:hint="default" w:ascii="Calibri" w:hAnsi="Calibri" w:eastAsia="Google Sans Text" w:cs="Calibri"/>
          <w:color w:val="1B1C1D"/>
          <w:sz w:val="24"/>
          <w:szCs w:val="24"/>
        </w:rPr>
        <w:t xml:space="preserve">data from official sources, primarily the National Stock Exchange (NSE) and the Bombay Stock Exchange (BSE). While the NSE provided comprehensive data, including Open-High-Low-Close (OHLC) figures, market capitalization, and valuation indicators such as </w:t>
      </w:r>
      <w:r>
        <w:rPr>
          <w:rFonts w:hint="default" w:ascii="Calibri" w:hAnsi="Calibri" w:eastAsia="Google Sans Text" w:cs="Calibri"/>
          <w:color w:val="1B1C1D"/>
          <w:sz w:val="24"/>
          <w:szCs w:val="24"/>
          <w:lang w:val="en-IN"/>
        </w:rPr>
        <w:t>Beta, Volatility parameters etc</w:t>
      </w:r>
      <w:r>
        <w:rPr>
          <w:rFonts w:hint="default" w:ascii="Calibri" w:hAnsi="Calibri" w:eastAsia="Google Sans Text" w:cs="Calibri"/>
          <w:color w:val="1B1C1D"/>
          <w:sz w:val="24"/>
          <w:szCs w:val="24"/>
        </w:rPr>
        <w:t>, the BSE's data offerings were limited</w:t>
      </w:r>
      <w:r>
        <w:rPr>
          <w:rFonts w:hint="default" w:ascii="Calibri" w:hAnsi="Calibri" w:eastAsia="Google Sans Text" w:cs="Calibri"/>
          <w:color w:val="1B1C1D"/>
          <w:sz w:val="24"/>
          <w:szCs w:val="24"/>
          <w:lang w:val="en-IN"/>
        </w:rPr>
        <w:t xml:space="preserve"> to P/E, P/B and dividend yield</w:t>
      </w:r>
      <w:r>
        <w:rPr>
          <w:rFonts w:hint="default" w:ascii="Calibri" w:hAnsi="Calibri" w:eastAsia="Google Sans Text" w:cs="Calibri"/>
          <w:color w:val="1B1C1D"/>
          <w:sz w:val="24"/>
          <w:szCs w:val="24"/>
        </w:rPr>
        <w:t>. Specifically, the BSE lacked certain valuation metrics and historical market capitalization data as of March 31, 2025.</w:t>
      </w:r>
      <w:r>
        <w:rPr>
          <w:rFonts w:hint="default" w:ascii="Calibri" w:hAnsi="Calibri" w:eastAsia="Google Sans Text" w:cs="Calibri"/>
          <w:color w:val="1B1C1D"/>
          <w:sz w:val="24"/>
          <w:szCs w:val="24"/>
          <w:lang w:val="en-IN"/>
        </w:rPr>
        <w:t xml:space="preserve"> While, we found the data related to Market breadth from these websites, the data related to FII, DII investments are unavailable and the IPO related data is also limited and insufficient for our purpose.</w:t>
      </w:r>
    </w:p>
    <w:p w14:paraId="6B0CB496">
      <w:pPr>
        <w:spacing w:before="120" w:after="240" w:line="275"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 xml:space="preserve">To address these gaps, we explored alternative data sources. Websites like Chittorgarh, moneycontrol  and CapitalMarket.com provided segmented data related to IPOs, monthly institutional investments etc, which proved invaluable. </w:t>
      </w:r>
      <w:r>
        <w:rPr>
          <w:rFonts w:hint="default" w:ascii="Calibri" w:hAnsi="Calibri" w:eastAsia="Google Sans Text" w:cs="Calibri"/>
          <w:color w:val="1B1C1D"/>
          <w:sz w:val="24"/>
          <w:szCs w:val="24"/>
          <w:lang w:val="en-IN"/>
        </w:rPr>
        <w:t xml:space="preserve">Money control and Groww websites provided us FII/DII data and additional IPO data. </w:t>
      </w:r>
      <w:r>
        <w:rPr>
          <w:rFonts w:hint="default" w:ascii="Calibri" w:hAnsi="Calibri" w:eastAsia="Google Sans Text" w:cs="Calibri"/>
          <w:color w:val="1B1C1D"/>
          <w:sz w:val="24"/>
          <w:szCs w:val="24"/>
        </w:rPr>
        <w:t>However, the data from these sources varied in format and consistency, necessitating additional processing to ensure consistency and reliability.</w:t>
      </w:r>
    </w:p>
    <w:p w14:paraId="3C5F51D2">
      <w:pPr>
        <w:spacing w:before="120" w:after="240" w:line="275"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Given the heterogeneous nature of the collected data, we adopted a structured Extract, Transform, Load (ETL) approach:</w:t>
      </w:r>
    </w:p>
    <w:p w14:paraId="02638E54">
      <w:pPr>
        <w:spacing w:before="120" w:after="240" w:line="275"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u w:val="single"/>
        </w:rPr>
        <w:t>Extract:</w:t>
      </w:r>
      <w:r>
        <w:rPr>
          <w:rFonts w:hint="default" w:ascii="Calibri" w:hAnsi="Calibri" w:eastAsia="Google Sans Text" w:cs="Calibri"/>
          <w:color w:val="1B1C1D"/>
          <w:sz w:val="24"/>
          <w:szCs w:val="24"/>
        </w:rPr>
        <w:t xml:space="preserve"> Data was </w:t>
      </w:r>
      <w:r>
        <w:rPr>
          <w:rFonts w:hint="default" w:ascii="Calibri" w:hAnsi="Calibri" w:eastAsia="Google Sans Text" w:cs="Calibri"/>
          <w:color w:val="1B1C1D"/>
          <w:sz w:val="24"/>
          <w:szCs w:val="24"/>
          <w:lang w:val="en-IN"/>
        </w:rPr>
        <w:t>extract</w:t>
      </w:r>
      <w:r>
        <w:rPr>
          <w:rFonts w:hint="default" w:ascii="Calibri" w:hAnsi="Calibri" w:eastAsia="Google Sans Text" w:cs="Calibri"/>
          <w:color w:val="1B1C1D"/>
          <w:sz w:val="24"/>
          <w:szCs w:val="24"/>
        </w:rPr>
        <w:t>ed from multiple sources, including official exchange websites and third-party platforms.</w:t>
      </w:r>
    </w:p>
    <w:p w14:paraId="22906CB2">
      <w:pPr>
        <w:spacing w:before="120" w:after="240" w:line="275"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u w:val="single"/>
        </w:rPr>
        <w:t>Transform:</w:t>
      </w:r>
      <w:r>
        <w:rPr>
          <w:rFonts w:hint="default" w:ascii="Calibri" w:hAnsi="Calibri" w:eastAsia="Google Sans Text" w:cs="Calibri"/>
          <w:color w:val="1B1C1D"/>
          <w:sz w:val="24"/>
          <w:szCs w:val="24"/>
        </w:rPr>
        <w:t xml:space="preserve"> The extracted data underwent cleaning and transformation. This involved handling missing values, standardizing formats, resolving discrepancies and combining partial data in different tables together. For instance, </w:t>
      </w:r>
      <w:r>
        <w:rPr>
          <w:rFonts w:hint="default" w:ascii="Calibri" w:hAnsi="Calibri" w:eastAsia="Google Sans Text" w:cs="Calibri"/>
          <w:color w:val="1B1C1D"/>
          <w:sz w:val="24"/>
          <w:szCs w:val="24"/>
          <w:lang w:val="en-IN"/>
        </w:rPr>
        <w:t>we have collected in three tables from three different sources, all the required parameters related to IPO data. However, the merging of three tables failed in both power bi and python due to difference in IPO name column of three tables.</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W</w:t>
      </w:r>
      <w:r>
        <w:rPr>
          <w:rFonts w:hint="default" w:ascii="Calibri" w:hAnsi="Calibri" w:eastAsia="Google Sans Text" w:cs="Calibri"/>
          <w:color w:val="1B1C1D"/>
          <w:sz w:val="24"/>
          <w:szCs w:val="24"/>
        </w:rPr>
        <w:t>e u</w:t>
      </w:r>
      <w:r>
        <w:rPr>
          <w:rFonts w:hint="default" w:ascii="Calibri" w:hAnsi="Calibri" w:eastAsia="Google Sans Text" w:cs="Calibri"/>
          <w:color w:val="1B1C1D"/>
          <w:sz w:val="24"/>
          <w:szCs w:val="24"/>
          <w:lang w:val="en-IN"/>
        </w:rPr>
        <w:t>sed</w:t>
      </w:r>
      <w:r>
        <w:rPr>
          <w:rFonts w:hint="default" w:ascii="Calibri" w:hAnsi="Calibri" w:eastAsia="Google Sans Text" w:cs="Calibri"/>
          <w:color w:val="1B1C1D"/>
          <w:sz w:val="24"/>
          <w:szCs w:val="24"/>
        </w:rPr>
        <w:t xml:space="preserve"> text processing techniques in Python to match and standardize these entries</w:t>
      </w:r>
      <w:r>
        <w:rPr>
          <w:rFonts w:hint="default" w:ascii="Calibri" w:hAnsi="Calibri" w:eastAsia="Google Sans Text" w:cs="Calibri"/>
          <w:color w:val="1B1C1D"/>
          <w:sz w:val="24"/>
          <w:szCs w:val="24"/>
          <w:lang w:val="en-IN"/>
        </w:rPr>
        <w:t xml:space="preserve"> (Go through the python notebook for better understanding)</w:t>
      </w:r>
      <w:r>
        <w:rPr>
          <w:rFonts w:hint="default" w:ascii="Calibri" w:hAnsi="Calibri" w:eastAsia="Google Sans Text" w:cs="Calibri"/>
          <w:color w:val="1B1C1D"/>
          <w:sz w:val="24"/>
          <w:szCs w:val="24"/>
        </w:rPr>
        <w:t>.</w:t>
      </w:r>
    </w:p>
    <w:p w14:paraId="233BE9FD">
      <w:pPr>
        <w:spacing w:before="120" w:after="240" w:line="275"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u w:val="single"/>
        </w:rPr>
        <w:t>Load:</w:t>
      </w:r>
      <w:r>
        <w:rPr>
          <w:rFonts w:hint="default" w:ascii="Calibri" w:hAnsi="Calibri" w:eastAsia="Google Sans Text" w:cs="Calibri"/>
          <w:color w:val="1B1C1D"/>
          <w:sz w:val="24"/>
          <w:szCs w:val="24"/>
        </w:rPr>
        <w:t xml:space="preserve"> The cleaned and standardized data was consolidated into set of csv or excel files,</w:t>
      </w:r>
      <w:r>
        <w:rPr>
          <w:rFonts w:hint="default" w:ascii="Calibri" w:hAnsi="Calibri" w:eastAsia="Google Sans Text" w:cs="Calibri"/>
          <w:color w:val="1B1C1D"/>
          <w:sz w:val="24"/>
          <w:szCs w:val="24"/>
          <w:lang w:val="en-IN"/>
        </w:rPr>
        <w:t xml:space="preserve"> to load them into Power BI.</w:t>
      </w:r>
    </w:p>
    <w:p w14:paraId="7E648114">
      <w:pPr>
        <w:spacing w:before="120" w:after="240" w:line="275"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 xml:space="preserve">During the course of this project, we realized that sometimes data collection, transformation and analysis is not a one-way process but </w:t>
      </w:r>
      <w:r>
        <w:rPr>
          <w:rFonts w:hint="default" w:ascii="Calibri" w:hAnsi="Calibri" w:eastAsia="Google Sans Text" w:cs="Calibri"/>
          <w:color w:val="1B1C1D"/>
          <w:sz w:val="24"/>
          <w:szCs w:val="24"/>
          <w:lang w:val="en-IN"/>
        </w:rPr>
        <w:t>back and forth</w:t>
      </w:r>
      <w:r>
        <w:rPr>
          <w:rFonts w:hint="default" w:ascii="Calibri" w:hAnsi="Calibri" w:eastAsia="Google Sans Text" w:cs="Calibri"/>
          <w:color w:val="1B1C1D"/>
          <w:sz w:val="24"/>
          <w:szCs w:val="24"/>
        </w:rPr>
        <w:t xml:space="preserve"> in nature. We’ve first collected data we thought</w:t>
      </w:r>
      <w:r>
        <w:rPr>
          <w:rFonts w:hint="default" w:ascii="Calibri" w:hAnsi="Calibri" w:eastAsia="Google Sans Text" w:cs="Calibri"/>
          <w:color w:val="1B1C1D"/>
          <w:sz w:val="24"/>
          <w:szCs w:val="24"/>
          <w:lang w:val="en-IN"/>
        </w:rPr>
        <w:t xml:space="preserve"> sufficient</w:t>
      </w:r>
      <w:r>
        <w:rPr>
          <w:rFonts w:hint="default" w:ascii="Calibri" w:hAnsi="Calibri" w:eastAsia="Google Sans Text" w:cs="Calibri"/>
          <w:color w:val="1B1C1D"/>
          <w:sz w:val="24"/>
          <w:szCs w:val="24"/>
        </w:rPr>
        <w:t xml:space="preserve"> for our objective, went ahead with cleaning and transforming part, where we sometimes realized that the obtained data is inconsistent and therefore, we must go back to data collection again. And then, sometimes during data transformation or Analysis stage, we unlocked some new understanding of the subject and again went back to collect some more useful data. It was both a revelation and experience at same time. </w:t>
      </w:r>
    </w:p>
    <w:p w14:paraId="11E4AAB0">
      <w:pPr>
        <w:numPr>
          <w:ilvl w:val="0"/>
          <w:numId w:val="2"/>
        </w:numPr>
        <w:spacing w:before="120" w:after="120" w:line="276" w:lineRule="auto"/>
        <w:rPr>
          <w:rFonts w:hint="default" w:ascii="Calibri" w:hAnsi="Calibri" w:eastAsia="Google Sans Text" w:cs="Calibri"/>
          <w:b/>
          <w:bCs/>
          <w:color w:val="1B1C1D"/>
          <w:sz w:val="28"/>
          <w:szCs w:val="28"/>
          <w:u w:val="single"/>
        </w:rPr>
      </w:pPr>
      <w:r>
        <w:rPr>
          <w:rFonts w:hint="default" w:ascii="Calibri" w:hAnsi="Calibri" w:eastAsia="Google Sans Text" w:cs="Calibri"/>
          <w:b/>
          <w:bCs/>
          <w:color w:val="1B1C1D"/>
          <w:sz w:val="28"/>
          <w:szCs w:val="28"/>
          <w:u w:val="single"/>
        </w:rPr>
        <w:t>Data Analysis &amp; Visualization</w:t>
      </w:r>
    </w:p>
    <w:p w14:paraId="33F07854">
      <w:pPr>
        <w:numPr>
          <w:ilvl w:val="0"/>
          <w:numId w:val="0"/>
        </w:numPr>
        <w:spacing w:before="120" w:after="120" w:line="276" w:lineRule="auto"/>
        <w:rPr>
          <w:rFonts w:hint="default" w:ascii="Calibri" w:hAnsi="Calibri" w:eastAsia="Google Sans Text" w:cs="Calibri"/>
          <w:b w:val="0"/>
          <w:bCs w:val="0"/>
          <w:color w:val="1B1C1D"/>
          <w:sz w:val="28"/>
          <w:szCs w:val="28"/>
          <w:u w:val="none"/>
          <w:lang w:val="en-IN"/>
        </w:rPr>
      </w:pPr>
      <w:r>
        <w:rPr>
          <w:rFonts w:hint="default" w:ascii="Calibri" w:hAnsi="Calibri" w:eastAsia="Google Sans Text" w:cs="Calibri"/>
          <w:b w:val="0"/>
          <w:bCs w:val="0"/>
          <w:color w:val="1B1C1D"/>
          <w:sz w:val="28"/>
          <w:szCs w:val="28"/>
          <w:u w:val="none"/>
          <w:lang w:val="en-IN"/>
        </w:rPr>
        <w:t>We realized that the primary understanding of data comes during the data collection process itself during verification of data consistency. This is why, data cleaning phase is tedious, exhaustive but is definitely rewarding as it eases the subsequent phases. Further Analysis revealed interesting insights which we presented through power BI visuals and dashboard and explained below. We also created measures for analysis in Power BI.</w:t>
      </w:r>
    </w:p>
    <w:p w14:paraId="14FD59AD">
      <w:pPr>
        <w:spacing w:before="120" w:after="120" w:line="276" w:lineRule="auto"/>
        <w:rPr>
          <w:rFonts w:hint="default" w:ascii="Calibri" w:hAnsi="Calibri" w:eastAsia="Google Sans Text" w:cs="Calibri"/>
          <w:color w:val="1B1C1D"/>
          <w:sz w:val="24"/>
          <w:szCs w:val="24"/>
        </w:rPr>
      </w:pPr>
      <w:r>
        <w:rPr>
          <w:rFonts w:hint="default" w:ascii="Calibri" w:hAnsi="Calibri" w:eastAsia="Google Sans Text" w:cs="Calibri"/>
          <w:b/>
          <w:bCs/>
          <w:color w:val="1B1C1D"/>
          <w:sz w:val="28"/>
          <w:szCs w:val="28"/>
          <w:u w:val="single"/>
        </w:rPr>
        <w:t>Executive Summary</w:t>
      </w:r>
      <w:r>
        <w:rPr>
          <w:rFonts w:hint="default" w:ascii="Calibri" w:hAnsi="Calibri" w:eastAsia="Google Sans Text" w:cs="Calibri"/>
          <w:color w:val="1B1C1D"/>
          <w:sz w:val="24"/>
          <w:szCs w:val="24"/>
        </w:rPr>
        <w:t xml:space="preserve"> </w:t>
      </w:r>
    </w:p>
    <w:p w14:paraId="05FB483B">
      <w:pPr>
        <w:spacing w:before="120" w:after="120" w:line="276"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 xml:space="preserve">Executive Summary provides in a nutshell, the highlights of all the events happened in the year, that influences the stock market.  The KPIs numbers are displayed in the top container. </w:t>
      </w:r>
    </w:p>
    <w:p w14:paraId="7362EF1A">
      <w:pPr>
        <w:spacing w:before="120" w:after="120" w:line="276"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rPr>
        <w:t xml:space="preserve">During FY 2024–25, the </w:t>
      </w:r>
      <w:r>
        <w:rPr>
          <w:rFonts w:hint="default" w:ascii="Calibri" w:hAnsi="Calibri" w:eastAsia="Google Sans Text" w:cs="Calibri"/>
          <w:color w:val="1B1C1D"/>
          <w:sz w:val="24"/>
          <w:szCs w:val="24"/>
          <w:lang w:val="en-IN"/>
        </w:rPr>
        <w:t>BSE SENSEX</w:t>
      </w:r>
      <w:r>
        <w:rPr>
          <w:rFonts w:hint="default" w:ascii="Calibri" w:hAnsi="Calibri" w:eastAsia="Google Sans Text" w:cs="Calibri"/>
          <w:color w:val="1B1C1D"/>
          <w:sz w:val="24"/>
          <w:szCs w:val="24"/>
        </w:rPr>
        <w:t xml:space="preserve"> clos</w:t>
      </w:r>
      <w:r>
        <w:rPr>
          <w:rFonts w:hint="default" w:ascii="Calibri" w:hAnsi="Calibri" w:eastAsia="Google Sans Text" w:cs="Calibri"/>
          <w:color w:val="1B1C1D"/>
          <w:sz w:val="24"/>
          <w:szCs w:val="24"/>
          <w:lang w:val="en-IN"/>
        </w:rPr>
        <w:t>ed</w:t>
      </w:r>
      <w:r>
        <w:rPr>
          <w:rFonts w:hint="default" w:ascii="Calibri" w:hAnsi="Calibri" w:eastAsia="Google Sans Text" w:cs="Calibri"/>
          <w:color w:val="1B1C1D"/>
          <w:sz w:val="24"/>
          <w:szCs w:val="24"/>
        </w:rPr>
        <w:t xml:space="preserve"> at </w:t>
      </w:r>
      <w:r>
        <w:rPr>
          <w:rFonts w:hint="default" w:ascii="Calibri" w:hAnsi="Calibri" w:eastAsia="Google Sans Text" w:cs="Calibri"/>
          <w:color w:val="1B1C1D"/>
          <w:sz w:val="24"/>
          <w:szCs w:val="24"/>
          <w:lang w:val="en-IN"/>
        </w:rPr>
        <w:t>77414.92 points (on 28</w:t>
      </w:r>
      <w:r>
        <w:rPr>
          <w:rFonts w:hint="default" w:ascii="Calibri" w:hAnsi="Calibri" w:eastAsia="Google Sans Text" w:cs="Calibri"/>
          <w:color w:val="1B1C1D"/>
          <w:sz w:val="24"/>
          <w:szCs w:val="24"/>
          <w:vertAlign w:val="superscript"/>
          <w:lang w:val="en-IN"/>
        </w:rPr>
        <w:t>th</w:t>
      </w:r>
      <w:r>
        <w:rPr>
          <w:rFonts w:hint="default" w:ascii="Calibri" w:hAnsi="Calibri" w:eastAsia="Google Sans Text" w:cs="Calibri"/>
          <w:color w:val="1B1C1D"/>
          <w:sz w:val="24"/>
          <w:szCs w:val="24"/>
          <w:lang w:val="en-IN"/>
        </w:rPr>
        <w:t xml:space="preserve"> March, 2025)</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increasing 3763 points (compared to closing price of 28</w:t>
      </w:r>
      <w:r>
        <w:rPr>
          <w:rFonts w:hint="default" w:ascii="Calibri" w:hAnsi="Calibri" w:eastAsia="Google Sans Text" w:cs="Calibri"/>
          <w:color w:val="1B1C1D"/>
          <w:sz w:val="24"/>
          <w:szCs w:val="24"/>
          <w:vertAlign w:val="superscript"/>
          <w:lang w:val="en-IN"/>
        </w:rPr>
        <w:t>th</w:t>
      </w:r>
      <w:r>
        <w:rPr>
          <w:rFonts w:hint="default" w:ascii="Calibri" w:hAnsi="Calibri" w:eastAsia="Google Sans Text" w:cs="Calibri"/>
          <w:color w:val="1B1C1D"/>
          <w:sz w:val="24"/>
          <w:szCs w:val="24"/>
          <w:lang w:val="en-IN"/>
        </w:rPr>
        <w:t xml:space="preserve"> March 2024)</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 xml:space="preserve">registering 5.11% growth </w:t>
      </w:r>
      <w:r>
        <w:rPr>
          <w:rFonts w:hint="default" w:ascii="Calibri" w:hAnsi="Calibri" w:eastAsia="Google Sans Text" w:cs="Calibri"/>
          <w:color w:val="1B1C1D"/>
          <w:sz w:val="24"/>
          <w:szCs w:val="24"/>
        </w:rPr>
        <w:t>and NIFTY50 finis</w:t>
      </w:r>
      <w:r>
        <w:rPr>
          <w:rFonts w:hint="default" w:ascii="Calibri" w:hAnsi="Calibri" w:eastAsia="Google Sans Text" w:cs="Calibri"/>
          <w:color w:val="1B1C1D"/>
          <w:sz w:val="24"/>
          <w:szCs w:val="24"/>
          <w:lang w:val="en-IN"/>
        </w:rPr>
        <w:t>hed</w:t>
      </w:r>
      <w:r>
        <w:rPr>
          <w:rFonts w:hint="default" w:ascii="Calibri" w:hAnsi="Calibri" w:eastAsia="Google Sans Text" w:cs="Calibri"/>
          <w:color w:val="1B1C1D"/>
          <w:sz w:val="24"/>
          <w:szCs w:val="24"/>
        </w:rPr>
        <w:t xml:space="preserve"> at </w:t>
      </w:r>
      <w:r>
        <w:rPr>
          <w:rFonts w:hint="default" w:ascii="Calibri" w:hAnsi="Calibri" w:eastAsia="Google Sans Text" w:cs="Calibri"/>
          <w:color w:val="1B1C1D"/>
          <w:sz w:val="24"/>
          <w:szCs w:val="24"/>
          <w:lang w:val="en-IN"/>
        </w:rPr>
        <w:t>23519.35 points (on 28</w:t>
      </w:r>
      <w:r>
        <w:rPr>
          <w:rFonts w:hint="default" w:ascii="Calibri" w:hAnsi="Calibri" w:eastAsia="Google Sans Text" w:cs="Calibri"/>
          <w:color w:val="1B1C1D"/>
          <w:sz w:val="24"/>
          <w:szCs w:val="24"/>
          <w:vertAlign w:val="superscript"/>
          <w:lang w:val="en-IN"/>
        </w:rPr>
        <w:t>th</w:t>
      </w:r>
      <w:r>
        <w:rPr>
          <w:rFonts w:hint="default" w:ascii="Calibri" w:hAnsi="Calibri" w:eastAsia="Google Sans Text" w:cs="Calibri"/>
          <w:color w:val="1B1C1D"/>
          <w:sz w:val="24"/>
          <w:szCs w:val="24"/>
          <w:lang w:val="en-IN"/>
        </w:rPr>
        <w:t xml:space="preserve"> March 2025) gaining 1192 points (compared to closing price of 28</w:t>
      </w:r>
      <w:r>
        <w:rPr>
          <w:rFonts w:hint="default" w:ascii="Calibri" w:hAnsi="Calibri" w:eastAsia="Google Sans Text" w:cs="Calibri"/>
          <w:color w:val="1B1C1D"/>
          <w:sz w:val="24"/>
          <w:szCs w:val="24"/>
          <w:vertAlign w:val="superscript"/>
          <w:lang w:val="en-IN"/>
        </w:rPr>
        <w:t>th</w:t>
      </w:r>
      <w:r>
        <w:rPr>
          <w:rFonts w:hint="default" w:ascii="Calibri" w:hAnsi="Calibri" w:eastAsia="Google Sans Text" w:cs="Calibri"/>
          <w:color w:val="1B1C1D"/>
          <w:sz w:val="24"/>
          <w:szCs w:val="24"/>
          <w:lang w:val="en-IN"/>
        </w:rPr>
        <w:t xml:space="preserve"> March, 2024)</w:t>
      </w:r>
      <w:r>
        <w:rPr>
          <w:rFonts w:hint="default" w:ascii="Calibri" w:hAnsi="Calibri" w:eastAsia="Google Sans Text" w:cs="Calibri"/>
          <w:color w:val="1B1C1D"/>
          <w:sz w:val="24"/>
          <w:szCs w:val="24"/>
        </w:rPr>
        <w:t xml:space="preserve"> with </w:t>
      </w:r>
      <w:r>
        <w:rPr>
          <w:rFonts w:hint="default" w:ascii="Calibri" w:hAnsi="Calibri" w:eastAsia="Google Sans Text" w:cs="Calibri"/>
          <w:color w:val="1B1C1D"/>
          <w:sz w:val="24"/>
          <w:szCs w:val="24"/>
          <w:lang w:val="en-IN"/>
        </w:rPr>
        <w:t>5.34</w:t>
      </w:r>
      <w:r>
        <w:rPr>
          <w:rFonts w:hint="default" w:ascii="Calibri" w:hAnsi="Calibri" w:eastAsia="Google Sans Text" w:cs="Calibri"/>
          <w:color w:val="1B1C1D"/>
          <w:sz w:val="24"/>
          <w:szCs w:val="24"/>
        </w:rPr>
        <w:t>% growth.</w:t>
      </w:r>
      <w:r>
        <w:rPr>
          <w:rFonts w:hint="default" w:ascii="Calibri" w:hAnsi="Calibri" w:eastAsia="Google Sans Text" w:cs="Calibri"/>
          <w:color w:val="1B1C1D"/>
          <w:sz w:val="24"/>
          <w:szCs w:val="24"/>
          <w:lang w:val="en-IN"/>
        </w:rPr>
        <w:t xml:space="preserve"> However, the growth rates of NIFTY50 and SENSEX during previous year are 28.61% and 24.85% respectively. Compared to them, the current growth percentages are too low.  </w:t>
      </w:r>
    </w:p>
    <w:p w14:paraId="376EBCD0">
      <w:pPr>
        <w:spacing w:before="120" w:after="120" w:line="276"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drawing>
          <wp:inline distT="0" distB="0" distL="114300" distR="114300">
            <wp:extent cx="5943600" cy="2742565"/>
            <wp:effectExtent l="0" t="0" r="0" b="635"/>
            <wp:docPr id="1" name="Picture 1"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13)"/>
                    <pic:cNvPicPr>
                      <a:picLocks noChangeAspect="1"/>
                    </pic:cNvPicPr>
                  </pic:nvPicPr>
                  <pic:blipFill>
                    <a:blip r:embed="rId4"/>
                    <a:stretch>
                      <a:fillRect/>
                    </a:stretch>
                  </pic:blipFill>
                  <pic:spPr>
                    <a:xfrm>
                      <a:off x="0" y="0"/>
                      <a:ext cx="5943600" cy="2742565"/>
                    </a:xfrm>
                    <a:prstGeom prst="rect">
                      <a:avLst/>
                    </a:prstGeom>
                  </pic:spPr>
                </pic:pic>
              </a:graphicData>
            </a:graphic>
          </wp:inline>
        </w:drawing>
      </w:r>
    </w:p>
    <w:p w14:paraId="16804E84">
      <w:pPr>
        <w:spacing w:before="120" w:after="240" w:line="275" w:lineRule="auto"/>
        <w:rPr>
          <w:rFonts w:hint="default" w:ascii="Calibri" w:hAnsi="Calibri" w:eastAsia="Google Sans Text" w:cs="Calibri"/>
          <w:b/>
          <w:bCs/>
          <w:color w:val="1B1C1D"/>
          <w:sz w:val="24"/>
          <w:szCs w:val="24"/>
        </w:rPr>
      </w:pPr>
    </w:p>
    <w:p w14:paraId="1627CD8C">
      <w:pPr>
        <w:spacing w:before="120" w:after="240" w:line="275" w:lineRule="auto"/>
        <w:rPr>
          <w:rFonts w:hint="default" w:ascii="Calibri" w:hAnsi="Calibri" w:eastAsia="Google Sans Text" w:cs="Calibri"/>
          <w:color w:val="1B1C1D"/>
          <w:sz w:val="24"/>
          <w:szCs w:val="24"/>
          <w:lang w:val="en-IN"/>
        </w:rPr>
      </w:pPr>
      <w:r>
        <w:rPr>
          <w:rFonts w:hint="default" w:ascii="Calibri" w:hAnsi="Calibri" w:eastAsia="Google Sans Text" w:cs="Calibri"/>
          <w:b/>
          <w:bCs/>
          <w:color w:val="1B1C1D"/>
          <w:sz w:val="24"/>
          <w:szCs w:val="24"/>
        </w:rPr>
        <w:t>Macroeconomic Influences</w:t>
      </w:r>
      <w:r>
        <w:rPr>
          <w:rFonts w:hint="default" w:ascii="Calibri" w:hAnsi="Calibri" w:eastAsia="Google Sans Text" w:cs="Calibri"/>
          <w:b/>
          <w:bCs/>
          <w:color w:val="1B1C1D"/>
          <w:sz w:val="24"/>
          <w:szCs w:val="24"/>
        </w:rPr>
        <w:br w:type="textWrapping"/>
      </w:r>
      <w:r>
        <w:rPr>
          <w:rFonts w:hint="default" w:ascii="Calibri" w:hAnsi="Calibri" w:eastAsia="Google Sans Text" w:cs="Calibri"/>
          <w:color w:val="1B1C1D"/>
          <w:sz w:val="24"/>
          <w:szCs w:val="24"/>
        </w:rPr>
        <w:t xml:space="preserve">The </w:t>
      </w:r>
      <w:r>
        <w:rPr>
          <w:rFonts w:hint="default" w:ascii="Calibri" w:hAnsi="Calibri" w:eastAsia="Google Sans Text" w:cs="Calibri"/>
          <w:color w:val="1B1C1D"/>
          <w:sz w:val="24"/>
          <w:szCs w:val="24"/>
          <w:lang w:val="en-IN"/>
        </w:rPr>
        <w:t xml:space="preserve">state of </w:t>
      </w:r>
      <w:r>
        <w:rPr>
          <w:rFonts w:hint="default" w:ascii="Calibri" w:hAnsi="Calibri" w:eastAsia="Google Sans Text" w:cs="Calibri"/>
          <w:color w:val="1B1C1D"/>
          <w:sz w:val="24"/>
          <w:szCs w:val="24"/>
        </w:rPr>
        <w:t>Indian economy throughout FY 2024–25</w:t>
      </w:r>
      <w:r>
        <w:rPr>
          <w:rFonts w:hint="default" w:ascii="Calibri" w:hAnsi="Calibri" w:eastAsia="Google Sans Text" w:cs="Calibri"/>
          <w:color w:val="1B1C1D"/>
          <w:sz w:val="24"/>
          <w:szCs w:val="24"/>
          <w:lang w:val="en-IN"/>
        </w:rPr>
        <w:t xml:space="preserve"> is shown in the bottom left (clustered) bar chart</w:t>
      </w:r>
      <w:r>
        <w:rPr>
          <w:rFonts w:hint="default" w:ascii="Calibri" w:hAnsi="Calibri" w:eastAsia="Google Sans Text" w:cs="Calibri"/>
          <w:color w:val="1B1C1D"/>
          <w:sz w:val="24"/>
          <w:szCs w:val="24"/>
        </w:rPr>
        <w:t xml:space="preserve">. GDP growth </w:t>
      </w:r>
      <w:r>
        <w:rPr>
          <w:rFonts w:hint="default" w:ascii="Calibri" w:hAnsi="Calibri" w:eastAsia="Google Sans Text" w:cs="Calibri"/>
          <w:color w:val="1B1C1D"/>
          <w:sz w:val="24"/>
          <w:szCs w:val="24"/>
          <w:lang w:val="en-IN"/>
        </w:rPr>
        <w:t>is steady</w:t>
      </w:r>
      <w:r>
        <w:rPr>
          <w:rFonts w:hint="default" w:ascii="Calibri" w:hAnsi="Calibri" w:eastAsia="Google Sans Text" w:cs="Calibri"/>
          <w:color w:val="1B1C1D"/>
          <w:sz w:val="24"/>
          <w:szCs w:val="24"/>
        </w:rPr>
        <w:t xml:space="preserve"> at 6.</w:t>
      </w:r>
      <w:r>
        <w:rPr>
          <w:rFonts w:hint="default" w:ascii="Calibri" w:hAnsi="Calibri" w:eastAsia="Google Sans Text" w:cs="Calibri"/>
          <w:color w:val="1B1C1D"/>
          <w:sz w:val="24"/>
          <w:szCs w:val="24"/>
          <w:lang w:val="en-IN"/>
        </w:rPr>
        <w:t>2</w:t>
      </w:r>
      <w:r>
        <w:rPr>
          <w:rFonts w:hint="default" w:ascii="Calibri" w:hAnsi="Calibri" w:eastAsia="Google Sans Text" w:cs="Calibri"/>
          <w:color w:val="1B1C1D"/>
          <w:sz w:val="24"/>
          <w:szCs w:val="24"/>
        </w:rPr>
        <w:t>%</w:t>
      </w:r>
      <w:r>
        <w:rPr>
          <w:rFonts w:hint="default" w:ascii="Calibri" w:hAnsi="Calibri" w:eastAsia="Google Sans Text" w:cs="Calibri"/>
          <w:color w:val="1B1C1D"/>
          <w:sz w:val="24"/>
          <w:szCs w:val="24"/>
          <w:lang w:val="en-IN"/>
        </w:rPr>
        <w:t xml:space="preserve"> compared to 6.5% in previous Fiscal Year</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supported</w:t>
      </w:r>
      <w:r>
        <w:rPr>
          <w:rFonts w:hint="default" w:ascii="Calibri" w:hAnsi="Calibri" w:eastAsia="Google Sans Text" w:cs="Calibri"/>
          <w:color w:val="1B1C1D"/>
          <w:sz w:val="24"/>
          <w:szCs w:val="24"/>
        </w:rPr>
        <w:t xml:space="preserve"> by improving GDP per capita, which rose from $2.7K to $2.9K, indicating rising income levels. Inflation was kept under control at 4.</w:t>
      </w:r>
      <w:r>
        <w:rPr>
          <w:rFonts w:hint="default" w:ascii="Calibri" w:hAnsi="Calibri" w:eastAsia="Google Sans Text" w:cs="Calibri"/>
          <w:color w:val="1B1C1D"/>
          <w:sz w:val="24"/>
          <w:szCs w:val="24"/>
          <w:lang w:val="en-IN"/>
        </w:rPr>
        <w:t>2</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implying the</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success of</w:t>
      </w:r>
      <w:r>
        <w:rPr>
          <w:rFonts w:hint="default" w:ascii="Calibri" w:hAnsi="Calibri" w:eastAsia="Google Sans Text" w:cs="Calibri"/>
          <w:color w:val="1B1C1D"/>
          <w:sz w:val="24"/>
          <w:szCs w:val="24"/>
        </w:rPr>
        <w:t xml:space="preserve"> monetary policy</w:t>
      </w:r>
      <w:r>
        <w:rPr>
          <w:rFonts w:hint="default" w:ascii="Calibri" w:hAnsi="Calibri" w:eastAsia="Google Sans Text" w:cs="Calibri"/>
          <w:color w:val="1B1C1D"/>
          <w:sz w:val="24"/>
          <w:szCs w:val="24"/>
          <w:lang w:val="en-IN"/>
        </w:rPr>
        <w:t xml:space="preserve"> in its efforts to curb inflation amid global rise.</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T</w:t>
      </w:r>
      <w:r>
        <w:rPr>
          <w:rFonts w:hint="default" w:ascii="Calibri" w:hAnsi="Calibri" w:eastAsia="Google Sans Text" w:cs="Calibri"/>
          <w:color w:val="1B1C1D"/>
          <w:sz w:val="24"/>
          <w:szCs w:val="24"/>
        </w:rPr>
        <w:t xml:space="preserve">he fiscal deficit was contained </w:t>
      </w:r>
      <w:r>
        <w:rPr>
          <w:rFonts w:hint="default" w:ascii="Calibri" w:hAnsi="Calibri" w:eastAsia="Google Sans Text" w:cs="Calibri"/>
          <w:color w:val="1B1C1D"/>
          <w:sz w:val="24"/>
          <w:szCs w:val="24"/>
          <w:lang w:val="en-IN"/>
        </w:rPr>
        <w:t>to</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4.9</w:t>
      </w:r>
      <w:r>
        <w:rPr>
          <w:rFonts w:hint="default" w:ascii="Calibri" w:hAnsi="Calibri" w:eastAsia="Google Sans Text" w:cs="Calibri"/>
          <w:color w:val="1B1C1D"/>
          <w:sz w:val="24"/>
          <w:szCs w:val="24"/>
        </w:rPr>
        <w:t>% of GDP</w:t>
      </w:r>
      <w:r>
        <w:rPr>
          <w:rFonts w:hint="default" w:ascii="Calibri" w:hAnsi="Calibri" w:eastAsia="Google Sans Text" w:cs="Calibri"/>
          <w:color w:val="1B1C1D"/>
          <w:sz w:val="24"/>
          <w:szCs w:val="24"/>
          <w:lang w:val="en-IN"/>
        </w:rPr>
        <w:t xml:space="preserve"> this year compared to 5.6% previous year</w:t>
      </w:r>
      <w:r>
        <w:rPr>
          <w:rFonts w:hint="default" w:ascii="Calibri" w:hAnsi="Calibri" w:eastAsia="Google Sans Text" w:cs="Calibri"/>
          <w:color w:val="1B1C1D"/>
          <w:sz w:val="24"/>
          <w:szCs w:val="24"/>
        </w:rPr>
        <w:t xml:space="preserve">, reflecting disciplined fiscal management. The Current Account Balance (CAB), however, remained negative at –0.9%, </w:t>
      </w:r>
      <w:r>
        <w:rPr>
          <w:rFonts w:hint="default" w:ascii="Calibri" w:hAnsi="Calibri" w:eastAsia="Google Sans Text" w:cs="Calibri"/>
          <w:color w:val="1B1C1D"/>
          <w:sz w:val="24"/>
          <w:szCs w:val="24"/>
          <w:lang w:val="en-IN"/>
        </w:rPr>
        <w:t>much like it has been in</w:t>
      </w:r>
      <w:r>
        <w:rPr>
          <w:rFonts w:hint="default" w:ascii="Calibri" w:hAnsi="Calibri" w:eastAsia="Google Sans Text" w:cs="Calibri"/>
          <w:color w:val="1B1C1D"/>
          <w:sz w:val="24"/>
          <w:szCs w:val="24"/>
        </w:rPr>
        <w:t xml:space="preserve"> the previous year (–0.8%). The consistent repo rate of 6.5% through most of the year</w:t>
      </w:r>
      <w:r>
        <w:rPr>
          <w:rFonts w:hint="default" w:ascii="Calibri" w:hAnsi="Calibri" w:eastAsia="Google Sans Text" w:cs="Calibri"/>
          <w:color w:val="1B1C1D"/>
          <w:sz w:val="24"/>
          <w:szCs w:val="24"/>
          <w:lang w:val="en-IN"/>
        </w:rPr>
        <w:t xml:space="preserve"> (bottom right chart)</w:t>
      </w:r>
      <w:r>
        <w:rPr>
          <w:rFonts w:hint="default" w:ascii="Calibri" w:hAnsi="Calibri" w:eastAsia="Google Sans Text" w:cs="Calibri"/>
          <w:color w:val="1B1C1D"/>
          <w:sz w:val="24"/>
          <w:szCs w:val="24"/>
        </w:rPr>
        <w:t>, with a slight reduction to 6.3% in February 2025, implies a cautious</w:t>
      </w:r>
      <w:r>
        <w:rPr>
          <w:rFonts w:hint="default" w:ascii="Calibri" w:hAnsi="Calibri" w:eastAsia="Google Sans Text" w:cs="Calibri"/>
          <w:color w:val="1B1C1D"/>
          <w:sz w:val="24"/>
          <w:szCs w:val="24"/>
          <w:lang w:val="en-IN"/>
        </w:rPr>
        <w:t xml:space="preserve"> approach by RBI in response to global recession and other geo-political factors.</w:t>
      </w:r>
    </w:p>
    <w:p w14:paraId="266035AB">
      <w:pPr>
        <w:spacing w:before="120" w:after="240" w:line="275" w:lineRule="auto"/>
        <w:rPr>
          <w:rFonts w:hint="default" w:ascii="Calibri" w:hAnsi="Calibri" w:eastAsia="Google Sans Text" w:cs="Calibri"/>
          <w:b/>
          <w:bCs/>
          <w:color w:val="1B1C1D"/>
          <w:sz w:val="24"/>
          <w:szCs w:val="24"/>
        </w:rPr>
      </w:pPr>
      <w:r>
        <w:rPr>
          <w:rFonts w:hint="default" w:ascii="Calibri" w:hAnsi="Calibri" w:eastAsia="Google Sans Text" w:cs="Calibri"/>
          <w:b/>
          <w:bCs/>
          <w:color w:val="1B1C1D"/>
          <w:sz w:val="24"/>
          <w:szCs w:val="24"/>
        </w:rPr>
        <w:t xml:space="preserve">Global Influences </w:t>
      </w:r>
    </w:p>
    <w:p w14:paraId="6B8CAFC8">
      <w:pPr>
        <w:spacing w:before="120" w:after="240" w:line="275"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t>The global interest of investment in Indian economy appears bleak</w:t>
      </w:r>
      <w:r>
        <w:rPr>
          <w:rFonts w:hint="default" w:ascii="Calibri" w:hAnsi="Calibri" w:eastAsia="Google Sans Text" w:cs="Calibri"/>
          <w:color w:val="1B1C1D"/>
          <w:sz w:val="24"/>
          <w:szCs w:val="24"/>
        </w:rPr>
        <w:t xml:space="preserve"> during FY 2024–25</w:t>
      </w:r>
      <w:r>
        <w:rPr>
          <w:rFonts w:hint="default" w:ascii="Calibri" w:hAnsi="Calibri" w:eastAsia="Google Sans Text" w:cs="Calibri"/>
          <w:color w:val="1B1C1D"/>
          <w:sz w:val="24"/>
          <w:szCs w:val="24"/>
          <w:lang w:val="en-IN"/>
        </w:rPr>
        <w:t xml:space="preserve"> as reflected by the FII monthly investment data visualized in the top left chart</w:t>
      </w:r>
      <w:r>
        <w:rPr>
          <w:rFonts w:hint="default" w:ascii="Calibri" w:hAnsi="Calibri" w:eastAsia="Google Sans Text" w:cs="Calibri"/>
          <w:color w:val="1B1C1D"/>
          <w:sz w:val="24"/>
          <w:szCs w:val="24"/>
        </w:rPr>
        <w:t xml:space="preserve">. The net outflows by Foreign Institutional Investors (FIIs), especially </w:t>
      </w:r>
      <w:r>
        <w:rPr>
          <w:rFonts w:hint="default" w:ascii="Calibri" w:hAnsi="Calibri" w:eastAsia="Google Sans Text" w:cs="Calibri"/>
          <w:color w:val="1B1C1D"/>
          <w:sz w:val="24"/>
          <w:szCs w:val="24"/>
          <w:lang w:val="en-IN"/>
        </w:rPr>
        <w:t>during the period of October-February</w:t>
      </w:r>
      <w:r>
        <w:rPr>
          <w:rFonts w:hint="default" w:ascii="Calibri" w:hAnsi="Calibri" w:eastAsia="Google Sans Text" w:cs="Calibri"/>
          <w:color w:val="1B1C1D"/>
          <w:sz w:val="24"/>
          <w:szCs w:val="24"/>
        </w:rPr>
        <w:t xml:space="preserve">, </w:t>
      </w:r>
      <w:r>
        <w:rPr>
          <w:rFonts w:hint="default" w:ascii="Calibri" w:hAnsi="Calibri" w:eastAsia="Google Sans Text" w:cs="Calibri"/>
          <w:color w:val="1B1C1D"/>
          <w:sz w:val="24"/>
          <w:szCs w:val="24"/>
          <w:lang w:val="en-IN"/>
        </w:rPr>
        <w:t>indicate</w:t>
      </w:r>
      <w:r>
        <w:rPr>
          <w:rFonts w:hint="default" w:ascii="Calibri" w:hAnsi="Calibri" w:eastAsia="Google Sans Text" w:cs="Calibri"/>
          <w:color w:val="1B1C1D"/>
          <w:sz w:val="24"/>
          <w:szCs w:val="24"/>
        </w:rPr>
        <w:t xml:space="preserve"> period of global risk aversion possibly due to geopolitical tensions or tightening by major global central banks. The dip in the FII line on the net purchase/sale chart corr</w:t>
      </w:r>
      <w:r>
        <w:rPr>
          <w:rFonts w:hint="default" w:ascii="Calibri" w:hAnsi="Calibri" w:eastAsia="Google Sans Text" w:cs="Calibri"/>
          <w:color w:val="1B1C1D"/>
          <w:sz w:val="24"/>
          <w:szCs w:val="24"/>
          <w:lang w:val="en-IN"/>
        </w:rPr>
        <w:t>elates</w:t>
      </w:r>
      <w:r>
        <w:rPr>
          <w:rFonts w:hint="default" w:ascii="Calibri" w:hAnsi="Calibri" w:eastAsia="Google Sans Text" w:cs="Calibri"/>
          <w:color w:val="1B1C1D"/>
          <w:sz w:val="24"/>
          <w:szCs w:val="24"/>
        </w:rPr>
        <w:t xml:space="preserve"> with increased market volatility and declining </w:t>
      </w:r>
      <w:r>
        <w:rPr>
          <w:rFonts w:hint="default" w:ascii="Calibri" w:hAnsi="Calibri" w:eastAsia="Google Sans Text" w:cs="Calibri"/>
          <w:color w:val="1B1C1D"/>
          <w:sz w:val="24"/>
          <w:szCs w:val="24"/>
          <w:lang w:val="en-IN"/>
        </w:rPr>
        <w:t>Advances-Decliners</w:t>
      </w:r>
      <w:r>
        <w:rPr>
          <w:rFonts w:hint="default" w:ascii="Calibri" w:hAnsi="Calibri" w:eastAsia="Google Sans Text" w:cs="Calibri"/>
          <w:color w:val="1B1C1D"/>
          <w:sz w:val="24"/>
          <w:szCs w:val="24"/>
        </w:rPr>
        <w:t xml:space="preserve"> ratio.</w:t>
      </w:r>
      <w:r>
        <w:rPr>
          <w:rFonts w:hint="default" w:ascii="Calibri" w:hAnsi="Calibri" w:eastAsia="Google Sans Text" w:cs="Calibri"/>
          <w:color w:val="1B1C1D"/>
          <w:sz w:val="24"/>
          <w:szCs w:val="24"/>
          <w:lang w:val="en-IN"/>
        </w:rPr>
        <w:t xml:space="preserve"> However, the domestic investors compensated for the net FII outflows neutralizing the negative effect.</w:t>
      </w:r>
    </w:p>
    <w:p w14:paraId="2B33DCC9">
      <w:pPr>
        <w:spacing w:before="120" w:after="240" w:line="275" w:lineRule="auto"/>
        <w:rPr>
          <w:rFonts w:hint="default" w:ascii="Calibri" w:hAnsi="Calibri" w:eastAsia="Google Sans Text" w:cs="Calibri"/>
          <w:b/>
          <w:bCs/>
          <w:color w:val="1B1C1D"/>
          <w:sz w:val="24"/>
          <w:szCs w:val="24"/>
          <w:lang w:val="en-IN"/>
        </w:rPr>
      </w:pPr>
      <w:r>
        <w:rPr>
          <w:rFonts w:hint="default" w:ascii="Calibri" w:hAnsi="Calibri" w:eastAsia="Google Sans Text" w:cs="Calibri"/>
          <w:b/>
          <w:bCs/>
          <w:color w:val="1B1C1D"/>
          <w:sz w:val="24"/>
          <w:szCs w:val="24"/>
          <w:lang w:val="en-IN"/>
        </w:rPr>
        <w:t>Market Breadth</w:t>
      </w:r>
    </w:p>
    <w:p w14:paraId="074909D9">
      <w:pPr>
        <w:spacing w:before="120" w:after="240" w:line="275" w:lineRule="auto"/>
        <w:rPr>
          <w:rFonts w:hint="default" w:ascii="Calibri" w:hAnsi="Calibri" w:eastAsia="Google Sans Text" w:cs="Calibri"/>
          <w:b w:val="0"/>
          <w:bCs w:val="0"/>
          <w:color w:val="1B1C1D"/>
          <w:sz w:val="24"/>
          <w:szCs w:val="24"/>
          <w:lang w:val="en-IN"/>
        </w:rPr>
      </w:pPr>
      <w:r>
        <w:rPr>
          <w:rFonts w:hint="default" w:ascii="Calibri" w:hAnsi="Calibri" w:eastAsia="Google Sans Text" w:cs="Calibri"/>
          <w:b w:val="0"/>
          <w:bCs w:val="0"/>
          <w:color w:val="1B1C1D"/>
          <w:sz w:val="24"/>
          <w:szCs w:val="24"/>
          <w:lang w:val="en-IN"/>
        </w:rPr>
        <w:t xml:space="preserve">While NIFTY50 and BSE SENSEX performance is one way of assessing market performance, market breadth is another way. There are around 2500-2900 stocks in NSE and 4000-4400 stocks in BSE besides top 50 and 30 stocks in NIFTY50 and BSE SENSEX. The stocks that registered profits are called Advances and the stocks that ended up in losses are called Decliners. The ratio of number of advances and the number of decliners is called Advances-Decliners ratio or in short, ADR, which acts as indicator of market breadth. The top right chart plots the monthly ADR of both NSE and BSE. The observable downward trend in the chart indicates the decliners increased and advances decreased as the year progressed, indicating a worrying sign. </w:t>
      </w:r>
    </w:p>
    <w:p w14:paraId="21A39A57">
      <w:pPr>
        <w:spacing w:before="120" w:after="240" w:line="275" w:lineRule="auto"/>
        <w:rPr>
          <w:rFonts w:hint="default" w:ascii="Calibri" w:hAnsi="Calibri" w:eastAsia="Google Sans Text" w:cs="Calibri"/>
          <w:b/>
          <w:bCs/>
          <w:color w:val="1B1C1D"/>
          <w:sz w:val="24"/>
          <w:szCs w:val="24"/>
          <w:lang w:val="en-IN"/>
        </w:rPr>
      </w:pPr>
      <w:r>
        <w:rPr>
          <w:rFonts w:hint="default" w:ascii="Calibri" w:hAnsi="Calibri" w:eastAsia="Google Sans Text" w:cs="Calibri"/>
          <w:b/>
          <w:bCs/>
          <w:color w:val="1B1C1D"/>
          <w:sz w:val="24"/>
          <w:szCs w:val="24"/>
          <w:lang w:val="en-IN"/>
        </w:rPr>
        <w:t>Retail participation</w:t>
      </w:r>
    </w:p>
    <w:p w14:paraId="2A054163">
      <w:pPr>
        <w:spacing w:before="120" w:after="240" w:line="275" w:lineRule="auto"/>
        <w:rPr>
          <w:rFonts w:hint="default" w:ascii="Calibri" w:hAnsi="Calibri" w:eastAsia="Google Sans Text" w:cs="Calibri"/>
          <w:b w:val="0"/>
          <w:bCs w:val="0"/>
          <w:color w:val="1B1C1D"/>
          <w:sz w:val="24"/>
          <w:szCs w:val="24"/>
          <w:lang w:val="en-IN"/>
        </w:rPr>
      </w:pPr>
      <w:r>
        <w:rPr>
          <w:rFonts w:hint="default" w:ascii="Calibri" w:hAnsi="Calibri" w:eastAsia="Google Sans Text" w:cs="Calibri"/>
          <w:b w:val="0"/>
          <w:bCs w:val="0"/>
          <w:color w:val="1B1C1D"/>
          <w:sz w:val="24"/>
          <w:szCs w:val="24"/>
          <w:lang w:val="en-IN"/>
        </w:rPr>
        <w:t>The retail investment in stock market is seeing steady rise, thanks to growing awareness among the retail investors (especially among young workforce), widespread internet and spontaneous and detailed news reach, eased regulations and encouraging incentives from regulatory agencies like SEBI (like T+0 cycle etc). This increase in retail participation is visible in increase of number of demat account holdings, mutual fund cumulative investment and IPO subscription rates.</w:t>
      </w:r>
    </w:p>
    <w:p w14:paraId="6CAA9C5B">
      <w:pPr>
        <w:pStyle w:val="13"/>
        <w:rPr>
          <w:rFonts w:hint="default" w:ascii="Calibri" w:hAnsi="Calibri" w:eastAsia="Google Sans Text" w:cs="Calibri"/>
          <w:b/>
          <w:bCs/>
          <w:color w:val="1B1C1D"/>
          <w:sz w:val="28"/>
          <w:szCs w:val="28"/>
          <w:u w:val="single"/>
        </w:rPr>
      </w:pPr>
      <w:r>
        <w:rPr>
          <w:rFonts w:hint="default" w:ascii="Calibri" w:hAnsi="Calibri" w:eastAsia="Google Sans Text" w:cs="Calibri"/>
          <w:b/>
          <w:bCs/>
          <w:color w:val="1B1C1D"/>
          <w:lang w:val="en-IN"/>
        </w:rPr>
        <w:t>Market Volatility</w:t>
      </w:r>
      <w:r>
        <w:rPr>
          <w:rFonts w:hint="default" w:ascii="Calibri" w:hAnsi="Calibri" w:eastAsia="Google Sans Text" w:cs="Calibri"/>
          <w:b/>
          <w:bCs/>
          <w:color w:val="1B1C1D"/>
          <w:lang w:val="en-IN"/>
        </w:rPr>
        <w:br w:type="textWrapping"/>
      </w:r>
      <w:r>
        <w:rPr>
          <w:rFonts w:hint="default" w:ascii="Calibri" w:hAnsi="Calibri" w:eastAsia="Google Sans Text" w:cs="Calibri"/>
          <w:color w:val="1B1C1D"/>
          <w:lang w:val="en-IN"/>
        </w:rPr>
        <w:t>The volatility reflected in index fluctuations and trading ratio dynamics was driven largely by the</w:t>
      </w:r>
      <w:r>
        <w:rPr>
          <w:rFonts w:hint="default" w:ascii="Calibri" w:hAnsi="Calibri" w:eastAsia="Google Sans Text" w:cs="Calibri"/>
          <w:color w:val="1B1C1D"/>
          <w:lang w:val="en-IN"/>
        </w:rPr>
        <w:t xml:space="preserve"> increased trading activity in terms of volume and other</w:t>
      </w:r>
      <w:r>
        <w:rPr>
          <w:rFonts w:hint="default" w:ascii="Calibri" w:hAnsi="Calibri" w:eastAsia="Google Sans Text" w:cs="Calibri"/>
          <w:color w:val="1B1C1D"/>
          <w:lang w:val="en-IN"/>
        </w:rPr>
        <w:t xml:space="preserve"> investment patterns and macro policy shifts</w:t>
      </w:r>
      <w:r>
        <w:rPr>
          <w:rFonts w:hint="default" w:ascii="Calibri" w:hAnsi="Calibri" w:eastAsia="Google Sans Text" w:cs="Calibri"/>
          <w:color w:val="1B1C1D"/>
          <w:lang w:val="en-IN"/>
        </w:rPr>
        <w:t>. This</w:t>
      </w:r>
      <w:r>
        <w:rPr>
          <w:rFonts w:hint="default" w:ascii="Calibri" w:hAnsi="Calibri" w:eastAsia="Google Sans Text" w:cs="Calibri"/>
          <w:color w:val="1B1C1D"/>
          <w:lang w:val="en-IN"/>
        </w:rPr>
        <w:t xml:space="preserve"> reinfor</w:t>
      </w:r>
      <w:r>
        <w:rPr>
          <w:rFonts w:hint="default" w:ascii="Calibri" w:hAnsi="Calibri" w:eastAsia="Google Sans Text" w:cs="Calibri"/>
          <w:color w:val="1B1C1D"/>
          <w:lang w:val="en-IN"/>
        </w:rPr>
        <w:t>ces</w:t>
      </w:r>
      <w:r>
        <w:rPr>
          <w:rFonts w:hint="default" w:ascii="Calibri" w:hAnsi="Calibri" w:eastAsia="Google Sans Text" w:cs="Calibri"/>
          <w:color w:val="1B1C1D"/>
          <w:lang w:val="en-IN"/>
        </w:rPr>
        <w:t xml:space="preserve"> the need for diversified participation and robust investor education.</w:t>
      </w:r>
    </w:p>
    <w:p w14:paraId="6016F5FF">
      <w:pPr>
        <w:spacing w:before="120" w:after="120" w:line="276" w:lineRule="auto"/>
        <w:rPr>
          <w:rFonts w:hint="default" w:ascii="Calibri" w:hAnsi="Calibri" w:eastAsia="Google Sans Text" w:cs="Calibri"/>
          <w:b/>
          <w:bCs/>
          <w:color w:val="1B1C1D"/>
          <w:sz w:val="28"/>
          <w:szCs w:val="28"/>
          <w:u w:val="single"/>
        </w:rPr>
      </w:pPr>
      <w:r>
        <w:rPr>
          <w:rFonts w:hint="default" w:ascii="Calibri" w:hAnsi="Calibri" w:eastAsia="Google Sans Text" w:cs="Calibri"/>
          <w:b/>
          <w:bCs/>
          <w:color w:val="1B1C1D"/>
          <w:sz w:val="28"/>
          <w:szCs w:val="28"/>
          <w:u w:val="single"/>
        </w:rPr>
        <w:t>Overall Market Performance</w:t>
      </w:r>
    </w:p>
    <w:p w14:paraId="0357BDD1">
      <w:pPr>
        <w:pStyle w:val="13"/>
        <w:spacing w:before="120" w:beforeAutospacing="0" w:after="120" w:afterAutospacing="0"/>
        <w:rPr>
          <w:rFonts w:hint="default" w:ascii="Calibri" w:hAnsi="Calibri" w:cs="Calibri"/>
          <w:lang w:val="en-IN"/>
        </w:rPr>
      </w:pPr>
      <w:r>
        <w:rPr>
          <w:rFonts w:hint="default" w:ascii="Calibri" w:hAnsi="Calibri" w:cs="Calibri"/>
          <w:lang w:val="en-IN"/>
        </w:rPr>
        <w:t>In this page, we discuss in detail the performance of indices of NSE &amp; BSE. It includes the analysis of primary indices (NSE NIFTY50, BSE SENSEX), segment wise indices (Large cap, Mid cap and small cap) and sector wise indices (Auto, Bank, IT, Energy, Pharma etc)</w:t>
      </w:r>
    </w:p>
    <w:p w14:paraId="11579D15">
      <w:pPr>
        <w:widowControl/>
        <w:spacing w:before="120" w:after="120"/>
        <w:rPr>
          <w:rFonts w:hint="default" w:ascii="Calibri" w:hAnsi="Calibri" w:cs="Calibri"/>
          <w:sz w:val="24"/>
          <w:szCs w:val="24"/>
        </w:rPr>
      </w:pPr>
      <w:r>
        <w:rPr>
          <w:rStyle w:val="14"/>
          <w:rFonts w:hint="default" w:ascii="Calibri" w:hAnsi="Calibri" w:cs="Calibri"/>
          <w:sz w:val="24"/>
          <w:szCs w:val="24"/>
        </w:rPr>
        <w:br w:type="textWrapping"/>
      </w:r>
      <w:r>
        <w:rPr>
          <w:rStyle w:val="14"/>
          <w:rFonts w:hint="default" w:ascii="Calibri" w:hAnsi="Calibri" w:cs="Calibri"/>
          <w:sz w:val="24"/>
          <w:szCs w:val="24"/>
        </w:rPr>
        <w:t>NSE NIFTY 50 Summary</w:t>
      </w:r>
    </w:p>
    <w:p w14:paraId="7D9894F0">
      <w:pPr>
        <w:pStyle w:val="13"/>
        <w:spacing w:before="120" w:beforeAutospacing="0" w:after="120" w:afterAutospacing="0"/>
        <w:rPr>
          <w:rFonts w:hint="default" w:ascii="Calibri" w:hAnsi="Calibri" w:cs="Calibri"/>
          <w:lang w:val="en-IN"/>
        </w:rPr>
      </w:pPr>
      <w:r>
        <w:rPr>
          <w:rFonts w:hint="default" w:ascii="Calibri" w:hAnsi="Calibri" w:cs="Calibri"/>
        </w:rPr>
        <w:t xml:space="preserve">The NIFTY 50 index </w:t>
      </w:r>
      <w:r>
        <w:rPr>
          <w:rFonts w:hint="default" w:ascii="Calibri" w:hAnsi="Calibri" w:cs="Calibri"/>
          <w:lang w:val="en-IN"/>
        </w:rPr>
        <w:t>showed a steady</w:t>
      </w:r>
      <w:r>
        <w:rPr>
          <w:rFonts w:hint="default" w:ascii="Calibri" w:hAnsi="Calibri" w:cs="Calibri"/>
        </w:rPr>
        <w:t xml:space="preserve"> rise in the first half of the </w:t>
      </w:r>
      <w:r>
        <w:rPr>
          <w:rFonts w:hint="default" w:ascii="Calibri" w:hAnsi="Calibri" w:cs="Calibri"/>
          <w:lang w:val="en-IN"/>
        </w:rPr>
        <w:t>year,</w:t>
      </w:r>
      <w:r>
        <w:rPr>
          <w:rFonts w:hint="default" w:ascii="Calibri" w:hAnsi="Calibri" w:cs="Calibri"/>
        </w:rPr>
        <w:t xml:space="preserve"> peaking around October</w:t>
      </w:r>
      <w:r>
        <w:rPr>
          <w:rFonts w:hint="default" w:ascii="Calibri" w:hAnsi="Calibri" w:cs="Calibri"/>
          <w:lang w:val="en-IN"/>
        </w:rPr>
        <w:t>, 2024</w:t>
      </w:r>
      <w:r>
        <w:rPr>
          <w:rFonts w:hint="default" w:ascii="Calibri" w:hAnsi="Calibri" w:cs="Calibri"/>
        </w:rPr>
        <w:t xml:space="preserve"> </w:t>
      </w:r>
      <w:r>
        <w:rPr>
          <w:rFonts w:hint="default" w:ascii="Calibri" w:hAnsi="Calibri" w:cs="Calibri"/>
          <w:lang w:val="en-IN"/>
        </w:rPr>
        <w:t>followed by</w:t>
      </w:r>
      <w:r>
        <w:rPr>
          <w:rFonts w:hint="default" w:ascii="Calibri" w:hAnsi="Calibri" w:cs="Calibri"/>
        </w:rPr>
        <w:t xml:space="preserve"> a </w:t>
      </w:r>
      <w:r>
        <w:rPr>
          <w:rFonts w:hint="default" w:ascii="Calibri" w:hAnsi="Calibri" w:cs="Calibri"/>
          <w:lang w:val="en-IN"/>
        </w:rPr>
        <w:t>gradual</w:t>
      </w:r>
      <w:r>
        <w:rPr>
          <w:rFonts w:hint="default" w:ascii="Calibri" w:hAnsi="Calibri" w:cs="Calibri"/>
        </w:rPr>
        <w:t xml:space="preserve"> </w:t>
      </w:r>
      <w:r>
        <w:rPr>
          <w:rFonts w:hint="default" w:ascii="Calibri" w:hAnsi="Calibri" w:cs="Calibri"/>
          <w:lang w:val="en-IN"/>
        </w:rPr>
        <w:t>fall until</w:t>
      </w:r>
      <w:r>
        <w:rPr>
          <w:rFonts w:hint="default" w:ascii="Calibri" w:hAnsi="Calibri" w:cs="Calibri"/>
        </w:rPr>
        <w:t xml:space="preserve"> </w:t>
      </w:r>
      <w:r>
        <w:rPr>
          <w:rFonts w:hint="default" w:ascii="Calibri" w:hAnsi="Calibri" w:cs="Calibri"/>
          <w:lang w:val="en-IN"/>
        </w:rPr>
        <w:t xml:space="preserve">mid </w:t>
      </w:r>
      <w:r>
        <w:rPr>
          <w:rFonts w:hint="default" w:ascii="Calibri" w:hAnsi="Calibri" w:cs="Calibri"/>
        </w:rPr>
        <w:t>March</w:t>
      </w:r>
      <w:r>
        <w:rPr>
          <w:rFonts w:hint="default" w:ascii="Calibri" w:hAnsi="Calibri" w:cs="Calibri"/>
          <w:lang w:val="en-IN"/>
        </w:rPr>
        <w:t>,</w:t>
      </w:r>
      <w:r>
        <w:rPr>
          <w:rFonts w:hint="default" w:ascii="Calibri" w:hAnsi="Calibri" w:cs="Calibri"/>
        </w:rPr>
        <w:t xml:space="preserve"> 2025. </w:t>
      </w:r>
      <w:r>
        <w:rPr>
          <w:rFonts w:hint="default" w:ascii="Calibri" w:hAnsi="Calibri" w:cs="Calibri"/>
          <w:lang w:val="en-IN"/>
        </w:rPr>
        <w:t>The quartely growth % chart confirms the trajectory with profits in first two quarters and losses in the last two. However</w:t>
      </w:r>
      <w:r>
        <w:rPr>
          <w:rFonts w:hint="default" w:ascii="Calibri" w:hAnsi="Calibri" w:cs="Calibri"/>
        </w:rPr>
        <w:t xml:space="preserve">, the index managed a </w:t>
      </w:r>
      <w:r>
        <w:rPr>
          <w:rStyle w:val="14"/>
          <w:rFonts w:hint="default" w:ascii="Calibri" w:hAnsi="Calibri" w:cs="Calibri"/>
          <w:b w:val="0"/>
          <w:bCs w:val="0"/>
        </w:rPr>
        <w:t>4.71% Year-To-Date (YTD) gain</w:t>
      </w:r>
      <w:r>
        <w:rPr>
          <w:rStyle w:val="14"/>
          <w:rFonts w:hint="default" w:ascii="Calibri" w:hAnsi="Calibri" w:cs="Calibri"/>
          <w:b w:val="0"/>
          <w:bCs w:val="0"/>
          <w:lang w:val="en-IN"/>
        </w:rPr>
        <w:t xml:space="preserve"> (with respect to close price on 1</w:t>
      </w:r>
      <w:r>
        <w:rPr>
          <w:rStyle w:val="14"/>
          <w:rFonts w:hint="default" w:ascii="Calibri" w:hAnsi="Calibri" w:cs="Calibri"/>
          <w:b w:val="0"/>
          <w:bCs w:val="0"/>
          <w:vertAlign w:val="superscript"/>
          <w:lang w:val="en-IN"/>
        </w:rPr>
        <w:t>st</w:t>
      </w:r>
      <w:r>
        <w:rPr>
          <w:rStyle w:val="14"/>
          <w:rFonts w:hint="default" w:ascii="Calibri" w:hAnsi="Calibri" w:cs="Calibri"/>
          <w:b w:val="0"/>
          <w:bCs w:val="0"/>
          <w:lang w:val="en-IN"/>
        </w:rPr>
        <w:t xml:space="preserve"> April, 2024)</w:t>
      </w:r>
      <w:r>
        <w:rPr>
          <w:rFonts w:hint="default" w:ascii="Calibri" w:hAnsi="Calibri" w:cs="Calibri"/>
        </w:rPr>
        <w:t xml:space="preserve">, ending at </w:t>
      </w:r>
      <w:r>
        <w:rPr>
          <w:rStyle w:val="14"/>
          <w:rFonts w:hint="default" w:ascii="Calibri" w:hAnsi="Calibri" w:cs="Calibri"/>
          <w:b w:val="0"/>
          <w:bCs w:val="0"/>
        </w:rPr>
        <w:t>23.52K</w:t>
      </w:r>
      <w:r>
        <w:rPr>
          <w:rFonts w:hint="default" w:ascii="Calibri" w:hAnsi="Calibri" w:cs="Calibri"/>
        </w:rPr>
        <w:t xml:space="preserve">. </w:t>
      </w:r>
      <w:r>
        <w:rPr>
          <w:rFonts w:hint="default" w:ascii="Calibri" w:hAnsi="Calibri" w:cs="Calibri"/>
          <w:lang w:val="en-IN"/>
        </w:rPr>
        <w:t>The resurgence in the month of March kept the last quarter loss minimal.</w:t>
      </w:r>
    </w:p>
    <w:p w14:paraId="647DC20B">
      <w:pPr>
        <w:pStyle w:val="13"/>
        <w:spacing w:before="120" w:beforeAutospacing="0" w:after="120" w:afterAutospacing="0"/>
        <w:rPr>
          <w:rFonts w:hint="default" w:ascii="Calibri" w:hAnsi="Calibri" w:cs="Calibri"/>
          <w:lang w:val="en-IN"/>
        </w:rPr>
      </w:pPr>
      <w:r>
        <w:rPr>
          <w:rFonts w:hint="default" w:ascii="Calibri" w:hAnsi="Calibri" w:cs="Calibri"/>
        </w:rPr>
        <w:t>The Price-to-Earnings (P/E) ratio and the Price-to-Book (P/B) ratio</w:t>
      </w:r>
      <w:r>
        <w:rPr>
          <w:rFonts w:hint="default" w:ascii="Calibri" w:hAnsi="Calibri" w:cs="Calibri"/>
          <w:lang w:val="en-IN"/>
        </w:rPr>
        <w:t xml:space="preserve"> are</w:t>
      </w:r>
      <w:r>
        <w:rPr>
          <w:rFonts w:hint="default" w:ascii="Calibri" w:hAnsi="Calibri" w:cs="Calibri"/>
        </w:rPr>
        <w:t xml:space="preserve"> </w:t>
      </w:r>
      <w:r>
        <w:rPr>
          <w:rStyle w:val="14"/>
          <w:rFonts w:hint="default" w:ascii="Calibri" w:hAnsi="Calibri" w:cs="Calibri"/>
          <w:b w:val="0"/>
          <w:bCs w:val="0"/>
        </w:rPr>
        <w:t>2</w:t>
      </w:r>
      <w:r>
        <w:rPr>
          <w:rStyle w:val="14"/>
          <w:rFonts w:hint="default" w:ascii="Calibri" w:hAnsi="Calibri" w:cs="Calibri"/>
          <w:b w:val="0"/>
          <w:bCs w:val="0"/>
          <w:lang w:val="en-IN"/>
        </w:rPr>
        <w:t>1.37 and 3.48 respectively</w:t>
      </w:r>
      <w:r>
        <w:rPr>
          <w:rFonts w:hint="default" w:ascii="Calibri" w:hAnsi="Calibri" w:cs="Calibri"/>
          <w:b/>
          <w:bCs/>
        </w:rPr>
        <w:t>,</w:t>
      </w:r>
      <w:r>
        <w:rPr>
          <w:rFonts w:hint="default" w:ascii="Calibri" w:hAnsi="Calibri" w:cs="Calibri"/>
        </w:rPr>
        <w:t xml:space="preserve"> </w:t>
      </w:r>
      <w:r>
        <w:rPr>
          <w:rFonts w:hint="default" w:ascii="Calibri" w:hAnsi="Calibri" w:cs="Calibri"/>
          <w:lang w:val="en-IN"/>
        </w:rPr>
        <w:t>clearly indicating the over-valuation of the index.</w:t>
      </w:r>
    </w:p>
    <w:p w14:paraId="2E9D21D8">
      <w:pPr>
        <w:pStyle w:val="13"/>
        <w:spacing w:before="120" w:beforeAutospacing="0" w:after="120" w:afterAutospacing="0"/>
        <w:rPr>
          <w:rFonts w:hint="default" w:ascii="Calibri" w:hAnsi="Calibri" w:cs="Calibri"/>
        </w:rPr>
      </w:pPr>
      <w:r>
        <w:rPr>
          <w:rFonts w:hint="default" w:ascii="Calibri" w:hAnsi="Calibri" w:cs="Calibri"/>
          <w:b/>
          <w:bCs/>
        </w:rPr>
        <w:br w:type="textWrapping"/>
      </w:r>
      <w:r>
        <w:rPr>
          <w:rFonts w:hint="default" w:ascii="Calibri" w:hAnsi="Calibri" w:cs="Calibri"/>
          <w:b/>
          <w:bCs/>
        </w:rPr>
        <w:drawing>
          <wp:inline distT="0" distB="0" distL="114300" distR="114300">
            <wp:extent cx="5943600" cy="3091815"/>
            <wp:effectExtent l="0" t="0" r="0" b="1905"/>
            <wp:docPr id="4" name="Picture 4" descr="Screenshot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16)"/>
                    <pic:cNvPicPr>
                      <a:picLocks noChangeAspect="1"/>
                    </pic:cNvPicPr>
                  </pic:nvPicPr>
                  <pic:blipFill>
                    <a:blip r:embed="rId5"/>
                    <a:stretch>
                      <a:fillRect/>
                    </a:stretch>
                  </pic:blipFill>
                  <pic:spPr>
                    <a:xfrm>
                      <a:off x="0" y="0"/>
                      <a:ext cx="5943600" cy="3091815"/>
                    </a:xfrm>
                    <a:prstGeom prst="rect">
                      <a:avLst/>
                    </a:prstGeom>
                  </pic:spPr>
                </pic:pic>
              </a:graphicData>
            </a:graphic>
          </wp:inline>
        </w:drawing>
      </w:r>
      <w:r>
        <w:rPr>
          <w:rFonts w:hint="default" w:ascii="Calibri" w:hAnsi="Calibri" w:cs="Calibri"/>
          <w:b/>
          <w:bCs/>
        </w:rPr>
        <w:br w:type="textWrapping"/>
      </w:r>
      <w:r>
        <w:rPr>
          <w:rFonts w:hint="default" w:ascii="Calibri" w:hAnsi="Calibri" w:cs="Calibri"/>
          <w:b/>
          <w:bCs/>
        </w:rPr>
        <w:br w:type="textWrapping"/>
      </w:r>
      <w:r>
        <w:rPr>
          <w:rStyle w:val="14"/>
          <w:rFonts w:hint="default" w:ascii="Calibri" w:hAnsi="Calibri" w:cs="Calibri"/>
        </w:rPr>
        <w:t>BSE SENSEX - Daily Chart Summary</w:t>
      </w:r>
    </w:p>
    <w:p w14:paraId="27E50D16">
      <w:pPr>
        <w:pStyle w:val="13"/>
        <w:rPr>
          <w:rFonts w:hint="default" w:ascii="Calibri" w:hAnsi="Calibri" w:cs="Calibri"/>
          <w:b/>
          <w:bCs/>
        </w:rPr>
      </w:pPr>
      <w:r>
        <w:rPr>
          <w:rFonts w:hint="default" w:ascii="Calibri" w:hAnsi="Calibri" w:cs="Calibri"/>
        </w:rPr>
        <w:t>The SENSEX mirrored a similar trend to NIFTY 50. Starting at approximately 73K–74K, it peaked near October 2024 (above 85K), followed by a consistent downtrend until March 2025, and a slight bounce</w:t>
      </w:r>
      <w:r>
        <w:rPr>
          <w:rFonts w:hint="default" w:ascii="Calibri" w:hAnsi="Calibri" w:cs="Calibri"/>
          <w:lang w:val="en-IN"/>
        </w:rPr>
        <w:t>-</w:t>
      </w:r>
      <w:r>
        <w:rPr>
          <w:rFonts w:hint="default" w:ascii="Calibri" w:hAnsi="Calibri" w:cs="Calibri"/>
        </w:rPr>
        <w:t xml:space="preserve">back afterward. The index closed at </w:t>
      </w:r>
      <w:r>
        <w:rPr>
          <w:rStyle w:val="14"/>
          <w:rFonts w:hint="default" w:ascii="Calibri" w:hAnsi="Calibri" w:cs="Calibri"/>
          <w:b w:val="0"/>
          <w:bCs w:val="0"/>
        </w:rPr>
        <w:t>77.41K</w:t>
      </w:r>
      <w:r>
        <w:rPr>
          <w:rFonts w:hint="default" w:ascii="Calibri" w:hAnsi="Calibri" w:cs="Calibri"/>
        </w:rPr>
        <w:t xml:space="preserve">, registering a </w:t>
      </w:r>
      <w:r>
        <w:rPr>
          <w:rStyle w:val="14"/>
          <w:rFonts w:hint="default" w:ascii="Calibri" w:hAnsi="Calibri" w:cs="Calibri"/>
          <w:b w:val="0"/>
          <w:bCs w:val="0"/>
        </w:rPr>
        <w:t>4.59% YTD gain</w:t>
      </w:r>
      <w:r>
        <w:rPr>
          <w:rStyle w:val="14"/>
          <w:rFonts w:hint="default" w:ascii="Calibri" w:hAnsi="Calibri" w:cs="Calibri"/>
          <w:b w:val="0"/>
          <w:bCs w:val="0"/>
          <w:lang w:val="en-IN"/>
        </w:rPr>
        <w:t xml:space="preserve"> (with respect to close price on 1</w:t>
      </w:r>
      <w:r>
        <w:rPr>
          <w:rStyle w:val="14"/>
          <w:rFonts w:hint="default" w:ascii="Calibri" w:hAnsi="Calibri" w:cs="Calibri"/>
          <w:b w:val="0"/>
          <w:bCs w:val="0"/>
          <w:vertAlign w:val="superscript"/>
          <w:lang w:val="en-IN"/>
        </w:rPr>
        <w:t>st</w:t>
      </w:r>
      <w:r>
        <w:rPr>
          <w:rStyle w:val="14"/>
          <w:rFonts w:hint="default" w:ascii="Calibri" w:hAnsi="Calibri" w:cs="Calibri"/>
          <w:b w:val="0"/>
          <w:bCs w:val="0"/>
          <w:lang w:val="en-IN"/>
        </w:rPr>
        <w:t xml:space="preserve"> April, 2024)</w:t>
      </w:r>
      <w:r>
        <w:rPr>
          <w:rFonts w:hint="default" w:ascii="Calibri" w:hAnsi="Calibri" w:cs="Calibri"/>
          <w:b/>
          <w:bCs/>
        </w:rPr>
        <w:t>.</w:t>
      </w:r>
      <w:r>
        <w:rPr>
          <w:rFonts w:hint="default" w:ascii="Calibri" w:hAnsi="Calibri" w:cs="Calibri"/>
        </w:rPr>
        <w:t xml:space="preserve"> The P/E and P/B ratios are </w:t>
      </w:r>
      <w:r>
        <w:rPr>
          <w:rFonts w:hint="default" w:ascii="Calibri" w:hAnsi="Calibri" w:cs="Calibri"/>
          <w:lang w:val="en-IN"/>
        </w:rPr>
        <w:t>23.20</w:t>
      </w:r>
      <w:r>
        <w:rPr>
          <w:rFonts w:hint="default" w:ascii="Calibri" w:hAnsi="Calibri" w:cs="Calibri"/>
        </w:rPr>
        <w:t xml:space="preserve"> and </w:t>
      </w:r>
      <w:r>
        <w:rPr>
          <w:rStyle w:val="14"/>
          <w:rFonts w:hint="default" w:ascii="Calibri" w:hAnsi="Calibri" w:cs="Calibri"/>
          <w:b w:val="0"/>
          <w:bCs w:val="0"/>
        </w:rPr>
        <w:t>4.</w:t>
      </w:r>
      <w:r>
        <w:rPr>
          <w:rStyle w:val="14"/>
          <w:rFonts w:hint="default" w:ascii="Calibri" w:hAnsi="Calibri" w:cs="Calibri"/>
          <w:b w:val="0"/>
          <w:bCs w:val="0"/>
          <w:lang w:val="en-IN"/>
        </w:rPr>
        <w:t>05</w:t>
      </w:r>
      <w:r>
        <w:rPr>
          <w:rFonts w:hint="default" w:ascii="Calibri" w:hAnsi="Calibri" w:cs="Calibri"/>
          <w:b/>
          <w:bCs/>
        </w:rPr>
        <w:t>,</w:t>
      </w:r>
      <w:r>
        <w:rPr>
          <w:rFonts w:hint="default" w:ascii="Calibri" w:hAnsi="Calibri" w:cs="Calibri"/>
        </w:rPr>
        <w:t xml:space="preserve"> respectively, which are slightly higher than those of NIFTY 50, suggesting higher investor expectations</w:t>
      </w:r>
      <w:r>
        <w:rPr>
          <w:rFonts w:hint="default" w:ascii="Calibri" w:hAnsi="Calibri" w:cs="Calibri"/>
          <w:lang w:val="en-IN"/>
        </w:rPr>
        <w:t xml:space="preserve"> and indicating similar over-valuation</w:t>
      </w:r>
      <w:r>
        <w:rPr>
          <w:rFonts w:hint="default" w:ascii="Calibri" w:hAnsi="Calibri" w:cs="Calibri"/>
        </w:rPr>
        <w:t>. The dividend yield is</w:t>
      </w:r>
      <w:r>
        <w:rPr>
          <w:rFonts w:hint="default" w:ascii="Calibri" w:hAnsi="Calibri" w:cs="Calibri"/>
          <w:b/>
          <w:bCs/>
        </w:rPr>
        <w:t xml:space="preserve"> </w:t>
      </w:r>
      <w:r>
        <w:rPr>
          <w:rStyle w:val="14"/>
          <w:rFonts w:hint="default" w:ascii="Calibri" w:hAnsi="Calibri" w:cs="Calibri"/>
          <w:b w:val="0"/>
          <w:bCs w:val="0"/>
        </w:rPr>
        <w:t>1.15%</w:t>
      </w:r>
      <w:r>
        <w:rPr>
          <w:rFonts w:hint="default" w:ascii="Calibri" w:hAnsi="Calibri" w:cs="Calibri"/>
          <w:b/>
          <w:bCs/>
        </w:rPr>
        <w:t>.</w:t>
      </w:r>
      <w:r>
        <w:rPr>
          <w:rFonts w:hint="default" w:ascii="Calibri" w:hAnsi="Calibri" w:cs="Calibri"/>
          <w:b/>
          <w:bCs/>
        </w:rPr>
        <w:br w:type="textWrapping"/>
      </w:r>
      <w:r>
        <w:rPr>
          <w:rFonts w:hint="default" w:ascii="Calibri" w:hAnsi="Calibri" w:cs="Calibri"/>
          <w:b/>
          <w:bCs/>
        </w:rPr>
        <w:br w:type="textWrapping"/>
      </w:r>
      <w:r>
        <w:rPr>
          <w:rFonts w:hint="default" w:ascii="Calibri" w:hAnsi="Calibri" w:cs="Calibri"/>
        </w:rPr>
        <w:drawing>
          <wp:inline distT="0" distB="0" distL="114300" distR="114300">
            <wp:extent cx="5939790" cy="3167380"/>
            <wp:effectExtent l="0" t="0" r="3810" b="254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939790" cy="3167380"/>
                    </a:xfrm>
                    <a:prstGeom prst="rect">
                      <a:avLst/>
                    </a:prstGeom>
                    <a:noFill/>
                    <a:ln>
                      <a:noFill/>
                    </a:ln>
                  </pic:spPr>
                </pic:pic>
              </a:graphicData>
            </a:graphic>
          </wp:inline>
        </w:drawing>
      </w:r>
      <w:r>
        <w:rPr>
          <w:rFonts w:hint="default" w:ascii="Calibri" w:hAnsi="Calibri" w:cs="Calibri"/>
          <w:b/>
          <w:bCs/>
        </w:rPr>
        <w:br w:type="textWrapping"/>
      </w:r>
    </w:p>
    <w:p w14:paraId="142D1A91">
      <w:pPr>
        <w:pStyle w:val="13"/>
        <w:rPr>
          <w:rStyle w:val="14"/>
          <w:rFonts w:hint="default" w:ascii="Calibri" w:hAnsi="Calibri" w:cs="Calibri"/>
          <w:sz w:val="24"/>
          <w:szCs w:val="24"/>
        </w:rPr>
      </w:pPr>
      <w:r>
        <w:rPr>
          <w:rStyle w:val="14"/>
          <w:rFonts w:hint="default" w:ascii="Calibri" w:hAnsi="Calibri" w:cs="Calibri"/>
          <w:sz w:val="24"/>
          <w:szCs w:val="24"/>
        </w:rPr>
        <w:t>Quarterly Performance Insights</w:t>
      </w:r>
    </w:p>
    <w:p w14:paraId="3D4DBD9E">
      <w:pPr>
        <w:pStyle w:val="13"/>
        <w:rPr>
          <w:rFonts w:hint="default" w:ascii="Calibri" w:hAnsi="Calibri" w:cs="Calibri"/>
          <w:lang w:val="en-IN"/>
        </w:rPr>
      </w:pPr>
      <w:r>
        <w:rPr>
          <w:rFonts w:hint="default" w:ascii="Calibri" w:hAnsi="Calibri" w:cs="Calibri"/>
          <w:lang w:val="en-IN"/>
        </w:rPr>
        <w:t>As already mentioned, b</w:t>
      </w:r>
      <w:r>
        <w:rPr>
          <w:rFonts w:hint="default" w:ascii="Calibri" w:hAnsi="Calibri" w:cs="Calibri"/>
        </w:rPr>
        <w:t xml:space="preserve">oth indices performed well in </w:t>
      </w:r>
      <w:r>
        <w:rPr>
          <w:rStyle w:val="14"/>
          <w:rFonts w:hint="default" w:ascii="Calibri" w:hAnsi="Calibri" w:cs="Calibri"/>
          <w:b w:val="0"/>
          <w:bCs w:val="0"/>
        </w:rPr>
        <w:t>Q1 and Q2</w:t>
      </w:r>
      <w:r>
        <w:rPr>
          <w:rFonts w:hint="default" w:ascii="Calibri" w:hAnsi="Calibri" w:cs="Calibri"/>
        </w:rPr>
        <w:t xml:space="preserve"> of the fiscal year, each showing gains above </w:t>
      </w:r>
      <w:r>
        <w:rPr>
          <w:rStyle w:val="14"/>
          <w:rFonts w:hint="default" w:ascii="Calibri" w:hAnsi="Calibri" w:cs="Calibri"/>
          <w:b w:val="0"/>
          <w:bCs w:val="0"/>
        </w:rPr>
        <w:t>6%</w:t>
      </w:r>
      <w:r>
        <w:rPr>
          <w:rFonts w:hint="default" w:ascii="Calibri" w:hAnsi="Calibri" w:cs="Calibri"/>
          <w:b/>
          <w:bCs/>
        </w:rPr>
        <w:t>.</w:t>
      </w:r>
      <w:r>
        <w:rPr>
          <w:rFonts w:hint="default" w:ascii="Calibri" w:hAnsi="Calibri" w:cs="Calibri"/>
        </w:rPr>
        <w:t xml:space="preserve"> However, </w:t>
      </w:r>
      <w:r>
        <w:rPr>
          <w:rStyle w:val="14"/>
          <w:rFonts w:hint="default" w:ascii="Calibri" w:hAnsi="Calibri" w:cs="Calibri"/>
          <w:b w:val="0"/>
          <w:bCs w:val="0"/>
        </w:rPr>
        <w:t>Q3</w:t>
      </w:r>
      <w:r>
        <w:rPr>
          <w:rFonts w:hint="default" w:ascii="Calibri" w:hAnsi="Calibri" w:cs="Calibri"/>
        </w:rPr>
        <w:t xml:space="preserve"> saw significant declines </w:t>
      </w:r>
      <w:r>
        <w:rPr>
          <w:rFonts w:hint="default" w:ascii="Calibri" w:hAnsi="Calibri" w:cs="Calibri"/>
          <w:b/>
          <w:bCs/>
        </w:rPr>
        <w:t>(</w:t>
      </w:r>
      <w:r>
        <w:rPr>
          <w:rStyle w:val="14"/>
          <w:rFonts w:hint="default" w:ascii="Calibri" w:hAnsi="Calibri" w:cs="Calibri"/>
          <w:b w:val="0"/>
          <w:bCs w:val="0"/>
        </w:rPr>
        <w:t>-8.34%</w:t>
      </w:r>
      <w:r>
        <w:rPr>
          <w:rFonts w:hint="default" w:ascii="Calibri" w:hAnsi="Calibri" w:cs="Calibri"/>
        </w:rPr>
        <w:t xml:space="preserve"> for NIFTY 50 and </w:t>
      </w:r>
      <w:r>
        <w:rPr>
          <w:rStyle w:val="14"/>
          <w:rFonts w:hint="default" w:ascii="Calibri" w:hAnsi="Calibri" w:cs="Calibri"/>
        </w:rPr>
        <w:t>-</w:t>
      </w:r>
      <w:r>
        <w:rPr>
          <w:rStyle w:val="14"/>
          <w:rFonts w:hint="default" w:ascii="Calibri" w:hAnsi="Calibri" w:cs="Calibri"/>
          <w:b w:val="0"/>
          <w:bCs w:val="0"/>
        </w:rPr>
        <w:t>7.27%</w:t>
      </w:r>
      <w:r>
        <w:rPr>
          <w:rFonts w:hint="default" w:ascii="Calibri" w:hAnsi="Calibri" w:cs="Calibri"/>
        </w:rPr>
        <w:t xml:space="preserve"> for SENSEX), likely due to macroeconomic or geopolitical factors. </w:t>
      </w:r>
      <w:r>
        <w:rPr>
          <w:rStyle w:val="14"/>
          <w:rFonts w:hint="default" w:ascii="Calibri" w:hAnsi="Calibri" w:cs="Calibri"/>
          <w:b w:val="0"/>
          <w:bCs w:val="0"/>
        </w:rPr>
        <w:t>Q4</w:t>
      </w:r>
      <w:r>
        <w:rPr>
          <w:rFonts w:hint="default" w:ascii="Calibri" w:hAnsi="Calibri" w:cs="Calibri"/>
        </w:rPr>
        <w:t xml:space="preserve"> was relatively stable with marginal losses </w:t>
      </w:r>
      <w:r>
        <w:rPr>
          <w:rFonts w:hint="default" w:ascii="Calibri" w:hAnsi="Calibri" w:cs="Calibri"/>
          <w:b/>
          <w:bCs/>
        </w:rPr>
        <w:t>(</w:t>
      </w:r>
      <w:r>
        <w:rPr>
          <w:rStyle w:val="14"/>
          <w:rFonts w:hint="default" w:ascii="Calibri" w:hAnsi="Calibri" w:cs="Calibri"/>
          <w:b w:val="0"/>
          <w:bCs w:val="0"/>
        </w:rPr>
        <w:t>-0.94%</w:t>
      </w:r>
      <w:r>
        <w:rPr>
          <w:rFonts w:hint="default" w:ascii="Calibri" w:hAnsi="Calibri" w:cs="Calibri"/>
        </w:rPr>
        <w:t xml:space="preserve"> for NIFTY and </w:t>
      </w:r>
      <w:r>
        <w:rPr>
          <w:rStyle w:val="14"/>
          <w:rFonts w:hint="default" w:ascii="Calibri" w:hAnsi="Calibri" w:cs="Calibri"/>
          <w:b w:val="0"/>
          <w:bCs w:val="0"/>
        </w:rPr>
        <w:t>-1.39%</w:t>
      </w:r>
      <w:r>
        <w:rPr>
          <w:rFonts w:hint="default" w:ascii="Calibri" w:hAnsi="Calibri" w:cs="Calibri"/>
        </w:rPr>
        <w:t xml:space="preserve"> for SENSEX)</w:t>
      </w:r>
      <w:r>
        <w:rPr>
          <w:rFonts w:hint="default" w:ascii="Calibri" w:hAnsi="Calibri" w:cs="Calibri"/>
          <w:lang w:val="en-IN"/>
        </w:rPr>
        <w:t xml:space="preserve"> owing to the boost in the price in the month of March, 2025.</w:t>
      </w:r>
    </w:p>
    <w:p w14:paraId="34B7D972">
      <w:pPr>
        <w:pStyle w:val="2"/>
        <w:rPr>
          <w:rFonts w:hint="default" w:ascii="Calibri" w:hAnsi="Calibri" w:cs="Calibri"/>
          <w:sz w:val="24"/>
          <w:szCs w:val="24"/>
        </w:rPr>
      </w:pPr>
      <w:r>
        <w:rPr>
          <w:rFonts w:hint="default" w:ascii="Calibri" w:hAnsi="Calibri" w:cs="Calibri"/>
          <w:sz w:val="24"/>
          <w:szCs w:val="24"/>
        </w:rPr>
        <w:t>Quarterly Growth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0"/>
        <w:gridCol w:w="2880"/>
        <w:gridCol w:w="2880"/>
      </w:tblGrid>
      <w:tr w14:paraId="098E84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0" w:type="dxa"/>
          </w:tcPr>
          <w:p w14:paraId="5B583D64">
            <w:pPr>
              <w:rPr>
                <w:rFonts w:hint="default" w:ascii="Calibri" w:hAnsi="Calibri" w:cs="Calibri"/>
              </w:rPr>
            </w:pPr>
            <w:r>
              <w:rPr>
                <w:rFonts w:hint="default" w:ascii="Calibri" w:hAnsi="Calibri" w:cs="Calibri"/>
              </w:rPr>
              <w:t>Quarter</w:t>
            </w:r>
          </w:p>
        </w:tc>
        <w:tc>
          <w:tcPr>
            <w:tcW w:w="2880" w:type="dxa"/>
          </w:tcPr>
          <w:p w14:paraId="12641BF9">
            <w:pPr>
              <w:rPr>
                <w:rFonts w:hint="default" w:ascii="Calibri" w:hAnsi="Calibri" w:cs="Calibri"/>
              </w:rPr>
            </w:pPr>
            <w:r>
              <w:rPr>
                <w:rFonts w:hint="default" w:ascii="Calibri" w:hAnsi="Calibri" w:cs="Calibri"/>
              </w:rPr>
              <w:t>NIFTY 50</w:t>
            </w:r>
          </w:p>
        </w:tc>
        <w:tc>
          <w:tcPr>
            <w:tcW w:w="2880" w:type="dxa"/>
          </w:tcPr>
          <w:p w14:paraId="1A52A091">
            <w:pPr>
              <w:rPr>
                <w:rFonts w:hint="default" w:ascii="Calibri" w:hAnsi="Calibri" w:cs="Calibri"/>
              </w:rPr>
            </w:pPr>
            <w:r>
              <w:rPr>
                <w:rFonts w:hint="default" w:ascii="Calibri" w:hAnsi="Calibri" w:cs="Calibri"/>
              </w:rPr>
              <w:t>SENSEX</w:t>
            </w:r>
          </w:p>
        </w:tc>
      </w:tr>
      <w:tr w14:paraId="4739C1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4849EC22">
            <w:pPr>
              <w:rPr>
                <w:rFonts w:hint="default" w:ascii="Calibri" w:hAnsi="Calibri" w:cs="Calibri"/>
              </w:rPr>
            </w:pPr>
            <w:r>
              <w:rPr>
                <w:rFonts w:hint="default" w:ascii="Calibri" w:hAnsi="Calibri" w:cs="Calibri"/>
              </w:rPr>
              <w:t>Q1</w:t>
            </w:r>
          </w:p>
        </w:tc>
        <w:tc>
          <w:tcPr>
            <w:tcW w:w="2880" w:type="dxa"/>
          </w:tcPr>
          <w:p w14:paraId="46E23059">
            <w:pPr>
              <w:rPr>
                <w:rFonts w:hint="default" w:ascii="Calibri" w:hAnsi="Calibri" w:cs="Calibri"/>
              </w:rPr>
            </w:pPr>
            <w:r>
              <w:rPr>
                <w:rFonts w:hint="default" w:ascii="Calibri" w:hAnsi="Calibri" w:cs="Calibri"/>
              </w:rPr>
              <w:t>6.89%</w:t>
            </w:r>
          </w:p>
        </w:tc>
        <w:tc>
          <w:tcPr>
            <w:tcW w:w="2880" w:type="dxa"/>
          </w:tcPr>
          <w:p w14:paraId="611538F2">
            <w:pPr>
              <w:rPr>
                <w:rFonts w:hint="default" w:ascii="Calibri" w:hAnsi="Calibri" w:cs="Calibri"/>
              </w:rPr>
            </w:pPr>
            <w:r>
              <w:rPr>
                <w:rFonts w:hint="default" w:ascii="Calibri" w:hAnsi="Calibri" w:cs="Calibri"/>
              </w:rPr>
              <w:t>6.78%</w:t>
            </w:r>
          </w:p>
        </w:tc>
      </w:tr>
      <w:tr w14:paraId="71823D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1048C813">
            <w:pPr>
              <w:rPr>
                <w:rFonts w:hint="default" w:ascii="Calibri" w:hAnsi="Calibri" w:cs="Calibri"/>
              </w:rPr>
            </w:pPr>
            <w:r>
              <w:rPr>
                <w:rFonts w:hint="default" w:ascii="Calibri" w:hAnsi="Calibri" w:cs="Calibri"/>
              </w:rPr>
              <w:t>Q2</w:t>
            </w:r>
          </w:p>
        </w:tc>
        <w:tc>
          <w:tcPr>
            <w:tcW w:w="2880" w:type="dxa"/>
          </w:tcPr>
          <w:p w14:paraId="4432FB15">
            <w:pPr>
              <w:rPr>
                <w:rFonts w:hint="default" w:ascii="Calibri" w:hAnsi="Calibri" w:cs="Calibri"/>
              </w:rPr>
            </w:pPr>
            <w:r>
              <w:rPr>
                <w:rFonts w:hint="default" w:ascii="Calibri" w:hAnsi="Calibri" w:cs="Calibri"/>
              </w:rPr>
              <w:t>6.91%</w:t>
            </w:r>
          </w:p>
        </w:tc>
        <w:tc>
          <w:tcPr>
            <w:tcW w:w="2880" w:type="dxa"/>
          </w:tcPr>
          <w:p w14:paraId="76EA4A76">
            <w:pPr>
              <w:rPr>
                <w:rFonts w:hint="default" w:ascii="Calibri" w:hAnsi="Calibri" w:cs="Calibri"/>
              </w:rPr>
            </w:pPr>
            <w:r>
              <w:rPr>
                <w:rFonts w:hint="default" w:ascii="Calibri" w:hAnsi="Calibri" w:cs="Calibri"/>
              </w:rPr>
              <w:t>6.07%</w:t>
            </w:r>
          </w:p>
        </w:tc>
      </w:tr>
      <w:tr w14:paraId="2B70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239680FB">
            <w:pPr>
              <w:rPr>
                <w:rFonts w:hint="default" w:ascii="Calibri" w:hAnsi="Calibri" w:cs="Calibri"/>
              </w:rPr>
            </w:pPr>
            <w:r>
              <w:rPr>
                <w:rFonts w:hint="default" w:ascii="Calibri" w:hAnsi="Calibri" w:cs="Calibri"/>
              </w:rPr>
              <w:t>Q3</w:t>
            </w:r>
          </w:p>
        </w:tc>
        <w:tc>
          <w:tcPr>
            <w:tcW w:w="2880" w:type="dxa"/>
          </w:tcPr>
          <w:p w14:paraId="10E6478B">
            <w:pPr>
              <w:rPr>
                <w:rFonts w:hint="default" w:ascii="Calibri" w:hAnsi="Calibri" w:cs="Calibri"/>
              </w:rPr>
            </w:pPr>
            <w:r>
              <w:rPr>
                <w:rFonts w:hint="default" w:ascii="Calibri" w:hAnsi="Calibri" w:cs="Calibri"/>
              </w:rPr>
              <w:t>-8.34%</w:t>
            </w:r>
          </w:p>
        </w:tc>
        <w:tc>
          <w:tcPr>
            <w:tcW w:w="2880" w:type="dxa"/>
          </w:tcPr>
          <w:p w14:paraId="58302D46">
            <w:pPr>
              <w:rPr>
                <w:rFonts w:hint="default" w:ascii="Calibri" w:hAnsi="Calibri" w:cs="Calibri"/>
              </w:rPr>
            </w:pPr>
            <w:r>
              <w:rPr>
                <w:rFonts w:hint="default" w:ascii="Calibri" w:hAnsi="Calibri" w:cs="Calibri"/>
              </w:rPr>
              <w:t>-7.27%</w:t>
            </w:r>
          </w:p>
        </w:tc>
      </w:tr>
      <w:tr w14:paraId="2F2AC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0" w:type="dxa"/>
          </w:tcPr>
          <w:p w14:paraId="232C7051">
            <w:pPr>
              <w:rPr>
                <w:rFonts w:hint="default" w:ascii="Calibri" w:hAnsi="Calibri" w:cs="Calibri"/>
              </w:rPr>
            </w:pPr>
            <w:r>
              <w:rPr>
                <w:rFonts w:hint="default" w:ascii="Calibri" w:hAnsi="Calibri" w:cs="Calibri"/>
              </w:rPr>
              <w:t>Q4</w:t>
            </w:r>
          </w:p>
        </w:tc>
        <w:tc>
          <w:tcPr>
            <w:tcW w:w="2880" w:type="dxa"/>
          </w:tcPr>
          <w:p w14:paraId="7DC15F7C">
            <w:pPr>
              <w:rPr>
                <w:rFonts w:hint="default" w:ascii="Calibri" w:hAnsi="Calibri" w:cs="Calibri"/>
              </w:rPr>
            </w:pPr>
            <w:r>
              <w:rPr>
                <w:rFonts w:hint="default" w:ascii="Calibri" w:hAnsi="Calibri" w:cs="Calibri"/>
              </w:rPr>
              <w:t>-0.94%</w:t>
            </w:r>
          </w:p>
        </w:tc>
        <w:tc>
          <w:tcPr>
            <w:tcW w:w="2880" w:type="dxa"/>
          </w:tcPr>
          <w:p w14:paraId="313DC98E">
            <w:pPr>
              <w:rPr>
                <w:rFonts w:hint="default" w:ascii="Calibri" w:hAnsi="Calibri" w:cs="Calibri"/>
              </w:rPr>
            </w:pPr>
            <w:r>
              <w:rPr>
                <w:rFonts w:hint="default" w:ascii="Calibri" w:hAnsi="Calibri" w:cs="Calibri"/>
              </w:rPr>
              <w:t>-1.39%</w:t>
            </w:r>
          </w:p>
        </w:tc>
      </w:tr>
    </w:tbl>
    <w:p w14:paraId="326F11F7">
      <w:pPr>
        <w:pStyle w:val="13"/>
        <w:rPr>
          <w:rStyle w:val="14"/>
          <w:rFonts w:hint="default" w:ascii="Calibri" w:hAnsi="Calibri" w:cs="Calibri"/>
        </w:rPr>
      </w:pPr>
    </w:p>
    <w:p w14:paraId="3FED1529">
      <w:pPr>
        <w:pStyle w:val="13"/>
        <w:rPr>
          <w:rFonts w:hint="default" w:ascii="Calibri" w:hAnsi="Calibri" w:cs="Calibri"/>
        </w:rPr>
      </w:pPr>
      <w:r>
        <w:rPr>
          <w:rStyle w:val="14"/>
          <w:rFonts w:hint="default" w:ascii="Calibri" w:hAnsi="Calibri" w:cs="Calibri"/>
        </w:rPr>
        <w:t>Sectoral Performance (YTD</w:t>
      </w:r>
      <w:r>
        <w:rPr>
          <w:rStyle w:val="14"/>
          <w:rFonts w:hint="default" w:ascii="Calibri" w:hAnsi="Calibri" w:cs="Calibri"/>
          <w:lang w:val="en-IN"/>
        </w:rPr>
        <w:t xml:space="preserve"> chart</w:t>
      </w:r>
      <w:r>
        <w:rPr>
          <w:rStyle w:val="14"/>
          <w:rFonts w:hint="default" w:ascii="Calibri" w:hAnsi="Calibri" w:cs="Calibri"/>
        </w:rPr>
        <w:t>)</w:t>
      </w:r>
      <w:r>
        <w:rPr>
          <w:rFonts w:hint="default" w:ascii="Calibri" w:hAnsi="Calibri" w:cs="Calibri"/>
        </w:rPr>
        <w:t>:</w:t>
      </w:r>
    </w:p>
    <w:p w14:paraId="793E506B">
      <w:pPr>
        <w:pStyle w:val="13"/>
        <w:numPr>
          <w:ilvl w:val="0"/>
          <w:numId w:val="4"/>
        </w:numPr>
        <w:rPr>
          <w:rFonts w:hint="default" w:ascii="Calibri" w:hAnsi="Calibri" w:cs="Calibri"/>
        </w:rPr>
      </w:pPr>
      <w:r>
        <w:rPr>
          <w:rStyle w:val="14"/>
          <w:rFonts w:hint="default" w:ascii="Calibri" w:hAnsi="Calibri" w:cs="Calibri"/>
        </w:rPr>
        <w:t>Top Performers</w:t>
      </w:r>
      <w:r>
        <w:rPr>
          <w:rFonts w:hint="default" w:ascii="Calibri" w:hAnsi="Calibri" w:cs="Calibri"/>
        </w:rPr>
        <w:t xml:space="preserve">: </w:t>
      </w:r>
      <w:r>
        <w:rPr>
          <w:rStyle w:val="10"/>
          <w:rFonts w:hint="default" w:ascii="Calibri" w:hAnsi="Calibri" w:cs="Calibri"/>
        </w:rPr>
        <w:t>Healthcare</w:t>
      </w:r>
      <w:r>
        <w:rPr>
          <w:rFonts w:hint="default" w:ascii="Calibri" w:hAnsi="Calibri" w:cs="Calibri"/>
        </w:rPr>
        <w:t xml:space="preserve"> led both indices </w:t>
      </w:r>
      <w:r>
        <w:rPr>
          <w:rFonts w:hint="default" w:ascii="Calibri" w:hAnsi="Calibri" w:cs="Calibri"/>
          <w:b/>
          <w:bCs/>
        </w:rPr>
        <w:t>(</w:t>
      </w:r>
      <w:r>
        <w:rPr>
          <w:rStyle w:val="14"/>
          <w:rFonts w:hint="default" w:ascii="Calibri" w:hAnsi="Calibri" w:cs="Calibri"/>
          <w:b w:val="0"/>
          <w:bCs w:val="0"/>
        </w:rPr>
        <w:t>12.25% NIFTY</w:t>
      </w:r>
      <w:r>
        <w:rPr>
          <w:rFonts w:hint="default" w:ascii="Calibri" w:hAnsi="Calibri" w:cs="Calibri"/>
          <w:b/>
          <w:bCs/>
        </w:rPr>
        <w:t xml:space="preserve">, </w:t>
      </w:r>
      <w:r>
        <w:rPr>
          <w:rStyle w:val="14"/>
          <w:rFonts w:hint="default" w:ascii="Calibri" w:hAnsi="Calibri" w:cs="Calibri"/>
          <w:b w:val="0"/>
          <w:bCs w:val="0"/>
        </w:rPr>
        <w:t>16.77% SENSEX</w:t>
      </w:r>
      <w:r>
        <w:rPr>
          <w:rFonts w:hint="default" w:ascii="Calibri" w:hAnsi="Calibri" w:cs="Calibri"/>
        </w:rPr>
        <w:t xml:space="preserve">), followed by </w:t>
      </w:r>
      <w:r>
        <w:rPr>
          <w:rStyle w:val="10"/>
          <w:rFonts w:hint="default" w:ascii="Calibri" w:hAnsi="Calibri" w:cs="Calibri"/>
        </w:rPr>
        <w:t>Banks</w:t>
      </w:r>
      <w:r>
        <w:rPr>
          <w:rFonts w:hint="default" w:ascii="Calibri" w:hAnsi="Calibri" w:cs="Calibri"/>
        </w:rPr>
        <w:t xml:space="preserve"> and </w:t>
      </w:r>
      <w:r>
        <w:rPr>
          <w:rStyle w:val="10"/>
          <w:rFonts w:hint="default" w:ascii="Calibri" w:hAnsi="Calibri" w:cs="Calibri"/>
        </w:rPr>
        <w:t>IT</w:t>
      </w:r>
      <w:r>
        <w:rPr>
          <w:rFonts w:hint="default" w:ascii="Calibri" w:hAnsi="Calibri" w:cs="Calibri"/>
        </w:rPr>
        <w:t>.</w:t>
      </w:r>
    </w:p>
    <w:p w14:paraId="21BCFD57">
      <w:pPr>
        <w:pStyle w:val="13"/>
        <w:numPr>
          <w:ilvl w:val="0"/>
          <w:numId w:val="4"/>
        </w:numPr>
        <w:rPr>
          <w:rFonts w:hint="default" w:ascii="Calibri" w:hAnsi="Calibri" w:cs="Calibri"/>
        </w:rPr>
      </w:pPr>
      <w:r>
        <w:rPr>
          <w:rStyle w:val="14"/>
          <w:rFonts w:hint="default" w:ascii="Calibri" w:hAnsi="Calibri" w:cs="Calibri"/>
        </w:rPr>
        <w:t>Underperformers</w:t>
      </w:r>
      <w:r>
        <w:rPr>
          <w:rFonts w:hint="default" w:ascii="Calibri" w:hAnsi="Calibri" w:cs="Calibri"/>
        </w:rPr>
        <w:t xml:space="preserve">: </w:t>
      </w:r>
      <w:r>
        <w:rPr>
          <w:rStyle w:val="10"/>
          <w:rFonts w:hint="default" w:ascii="Calibri" w:hAnsi="Calibri" w:cs="Calibri"/>
        </w:rPr>
        <w:t>Energy</w:t>
      </w:r>
      <w:r>
        <w:rPr>
          <w:rFonts w:hint="default" w:ascii="Calibri" w:hAnsi="Calibri" w:cs="Calibri"/>
        </w:rPr>
        <w:t xml:space="preserve"> (-14.99% on NIFTY) and </w:t>
      </w:r>
      <w:r>
        <w:rPr>
          <w:rStyle w:val="10"/>
          <w:rFonts w:hint="default" w:ascii="Calibri" w:hAnsi="Calibri" w:cs="Calibri"/>
        </w:rPr>
        <w:t>Realty</w:t>
      </w:r>
      <w:r>
        <w:rPr>
          <w:rFonts w:hint="default" w:ascii="Calibri" w:hAnsi="Calibri" w:cs="Calibri"/>
        </w:rPr>
        <w:t xml:space="preserve"> (-9.43% NIFTY, -10.86% SENSEX) were the weakest sectors, suggesting pressure on these industries.</w:t>
      </w:r>
      <w:r>
        <w:rPr>
          <w:rFonts w:hint="default" w:ascii="Calibri" w:hAnsi="Calibri" w:cs="Calibri"/>
          <w:lang w:val="en-IN"/>
        </w:rPr>
        <w:t xml:space="preserve"> In addition to these, BSE Auto and BSE FMCG suffered fractional losses and NSE Auto registered 2% loss. </w:t>
      </w:r>
    </w:p>
    <w:p w14:paraId="4806CD24">
      <w:pPr>
        <w:pStyle w:val="13"/>
        <w:numPr>
          <w:ilvl w:val="0"/>
          <w:numId w:val="4"/>
        </w:numPr>
        <w:rPr>
          <w:rFonts w:hint="default" w:ascii="Calibri" w:hAnsi="Calibri" w:cs="Calibri"/>
        </w:rPr>
      </w:pPr>
      <w:r>
        <w:rPr>
          <w:rFonts w:hint="default" w:ascii="Calibri" w:hAnsi="Calibri" w:cs="Calibri"/>
          <w:lang w:val="en-IN"/>
        </w:rPr>
        <w:t>Mid-cap segment outperformed large and small cap segments in BSE whereas small cap edged over mid cap and large cap segments in NSE.</w:t>
      </w:r>
    </w:p>
    <w:p w14:paraId="668AF682">
      <w:pPr>
        <w:pStyle w:val="13"/>
        <w:numPr>
          <w:ilvl w:val="0"/>
          <w:numId w:val="0"/>
        </w:numPr>
        <w:ind w:leftChars="0"/>
        <w:rPr>
          <w:rFonts w:hint="default" w:ascii="Calibri" w:hAnsi="Calibri" w:eastAsia="Google Sans Text" w:cs="Calibri"/>
          <w:b/>
          <w:bCs/>
          <w:color w:val="1B1C1D"/>
          <w:sz w:val="24"/>
          <w:szCs w:val="24"/>
          <w:lang w:val="en-IN"/>
        </w:rPr>
      </w:pPr>
      <w:r>
        <w:rPr>
          <w:rFonts w:hint="default" w:ascii="Calibri" w:hAnsi="Calibri" w:eastAsia="Google Sans Text" w:cs="Calibri"/>
          <w:b/>
          <w:bCs/>
          <w:color w:val="1B1C1D"/>
          <w:sz w:val="24"/>
          <w:szCs w:val="24"/>
        </w:rPr>
        <w:t>Sectoral Analysis</w:t>
      </w:r>
      <w:r>
        <w:rPr>
          <w:rFonts w:hint="default" w:ascii="Calibri" w:hAnsi="Calibri" w:eastAsia="Google Sans Text" w:cs="Calibri"/>
          <w:b/>
          <w:bCs/>
          <w:color w:val="1B1C1D"/>
          <w:sz w:val="24"/>
          <w:szCs w:val="24"/>
          <w:lang w:val="en-IN"/>
        </w:rPr>
        <w:t xml:space="preserve">  (analyse dashboard and write)</w:t>
      </w:r>
    </w:p>
    <w:p w14:paraId="263D3CAE">
      <w:pPr>
        <w:pStyle w:val="13"/>
        <w:numPr>
          <w:ilvl w:val="0"/>
          <w:numId w:val="0"/>
        </w:numPr>
        <w:ind w:leftChars="0"/>
        <w:rPr>
          <w:rFonts w:hint="default" w:ascii="Calibri" w:hAnsi="Calibri" w:eastAsia="Google Sans Text" w:cs="Calibri"/>
          <w:b w:val="0"/>
          <w:bCs w:val="0"/>
          <w:color w:val="1B1C1D"/>
          <w:sz w:val="24"/>
          <w:szCs w:val="24"/>
          <w:lang w:val="en-IN"/>
        </w:rPr>
      </w:pPr>
      <w:r>
        <w:rPr>
          <w:rFonts w:hint="default" w:ascii="Calibri" w:hAnsi="Calibri" w:eastAsia="Google Sans Text" w:cs="Calibri"/>
          <w:b w:val="0"/>
          <w:bCs w:val="0"/>
          <w:color w:val="1B1C1D"/>
          <w:sz w:val="24"/>
          <w:szCs w:val="24"/>
          <w:lang w:val="en-IN"/>
        </w:rPr>
        <w:t xml:space="preserve">Let’s deep dive into sectoral analysis of key indices. We shall start with BSE sectoral indices. </w:t>
      </w:r>
    </w:p>
    <w:p w14:paraId="332991BE">
      <w:pPr>
        <w:pStyle w:val="13"/>
        <w:numPr>
          <w:ilvl w:val="0"/>
          <w:numId w:val="0"/>
        </w:numPr>
        <w:ind w:leftChars="0"/>
        <w:rPr>
          <w:rFonts w:hint="default" w:ascii="Calibri" w:hAnsi="Calibri" w:eastAsia="Google Sans Text" w:cs="Calibri"/>
          <w:b/>
          <w:bCs/>
          <w:color w:val="1B1C1D"/>
          <w:sz w:val="24"/>
          <w:szCs w:val="24"/>
          <w:u w:val="none"/>
          <w:lang w:val="en-IN"/>
        </w:rPr>
      </w:pPr>
      <w:r>
        <w:rPr>
          <w:rFonts w:hint="default" w:ascii="Calibri" w:hAnsi="Calibri" w:eastAsia="Google Sans Text" w:cs="Calibri"/>
          <w:b/>
          <w:bCs/>
          <w:color w:val="1B1C1D"/>
          <w:sz w:val="24"/>
          <w:szCs w:val="24"/>
          <w:u w:val="none"/>
          <w:lang w:val="en-IN"/>
        </w:rPr>
        <w:t xml:space="preserve">BSE Healthcare </w:t>
      </w:r>
    </w:p>
    <w:p w14:paraId="3FF1E0A9">
      <w:pPr>
        <w:pStyle w:val="13"/>
        <w:numPr>
          <w:ilvl w:val="0"/>
          <w:numId w:val="0"/>
        </w:numPr>
        <w:ind w:leftChars="0"/>
        <w:rPr>
          <w:rFonts w:hint="default" w:ascii="Calibri" w:hAnsi="Calibri" w:eastAsia="Google Sans Text" w:cs="Calibri"/>
          <w:b w:val="0"/>
          <w:bCs w:val="0"/>
          <w:color w:val="1B1C1D"/>
          <w:sz w:val="24"/>
          <w:szCs w:val="24"/>
          <w:lang w:val="en-IN"/>
        </w:rPr>
      </w:pPr>
      <w:r>
        <w:rPr>
          <w:rFonts w:hint="default" w:ascii="Calibri" w:hAnsi="Calibri" w:eastAsia="Google Sans Text" w:cs="Calibri"/>
          <w:b w:val="0"/>
          <w:bCs w:val="0"/>
          <w:color w:val="1B1C1D"/>
          <w:sz w:val="24"/>
          <w:szCs w:val="24"/>
          <w:lang w:val="en-IN"/>
        </w:rPr>
        <w:drawing>
          <wp:inline distT="0" distB="0" distL="114300" distR="114300">
            <wp:extent cx="5943600" cy="3343275"/>
            <wp:effectExtent l="0" t="0" r="0" b="9525"/>
            <wp:docPr id="5" name="Picture 5" descr="Screenshot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30)"/>
                    <pic:cNvPicPr>
                      <a:picLocks noChangeAspect="1"/>
                    </pic:cNvPicPr>
                  </pic:nvPicPr>
                  <pic:blipFill>
                    <a:blip r:embed="rId7"/>
                    <a:stretch>
                      <a:fillRect/>
                    </a:stretch>
                  </pic:blipFill>
                  <pic:spPr>
                    <a:xfrm>
                      <a:off x="0" y="0"/>
                      <a:ext cx="5943600" cy="3343275"/>
                    </a:xfrm>
                    <a:prstGeom prst="rect">
                      <a:avLst/>
                    </a:prstGeom>
                  </pic:spPr>
                </pic:pic>
              </a:graphicData>
            </a:graphic>
          </wp:inline>
        </w:drawing>
      </w:r>
    </w:p>
    <w:p w14:paraId="63C7388B">
      <w:pPr>
        <w:pStyle w:val="2"/>
        <w:rPr>
          <w:rFonts w:hint="default" w:ascii="Calibri" w:hAnsi="Calibri" w:cs="Calibri"/>
          <w:b w:val="0"/>
          <w:bCs/>
          <w:sz w:val="24"/>
          <w:szCs w:val="24"/>
          <w:lang w:val="en-IN"/>
        </w:rPr>
      </w:pPr>
      <w:r>
        <w:rPr>
          <w:rFonts w:hint="default" w:ascii="Calibri" w:hAnsi="Calibri" w:cs="Calibri"/>
          <w:b w:val="0"/>
          <w:bCs/>
          <w:sz w:val="24"/>
          <w:szCs w:val="24"/>
          <w:lang w:val="en-IN"/>
        </w:rPr>
        <w:t>Contrary to the benchmark indices charts, BSE Healthcare has been steady the first two months and started to rise until September and fluctuated around 44000 and recorded losses in the last two months of the financial year. The quarterly indices summarize this pattern showing around 4% gain in Q1, 19% gain in Q2, 2.3% gain in Q3 and 9% loss in Q4. The index began the year at 35k and ended at around 42k.However, its P/E and P/B ratios are 43.67 and 5.99 respectively indicating over-valuation of stocks.</w:t>
      </w:r>
    </w:p>
    <w:p w14:paraId="0FBF89F0">
      <w:pPr>
        <w:pStyle w:val="2"/>
        <w:rPr>
          <w:rFonts w:hint="default" w:ascii="Calibri" w:hAnsi="Calibri" w:cs="Calibri"/>
          <w:b w:val="0"/>
          <w:bCs/>
          <w:sz w:val="24"/>
          <w:szCs w:val="24"/>
          <w:lang w:val="en-IN"/>
        </w:rPr>
      </w:pPr>
    </w:p>
    <w:p w14:paraId="670308B4">
      <w:pPr>
        <w:pStyle w:val="2"/>
        <w:rPr>
          <w:rFonts w:hint="default" w:ascii="Calibri" w:hAnsi="Calibri" w:cs="Calibri"/>
          <w:b/>
          <w:bCs w:val="0"/>
          <w:sz w:val="24"/>
          <w:szCs w:val="24"/>
          <w:u w:val="none"/>
          <w:lang w:val="en-IN"/>
        </w:rPr>
      </w:pPr>
      <w:r>
        <w:rPr>
          <w:rFonts w:hint="default" w:ascii="Calibri" w:hAnsi="Calibri" w:cs="Calibri"/>
          <w:b/>
          <w:bCs w:val="0"/>
          <w:sz w:val="24"/>
          <w:szCs w:val="24"/>
          <w:u w:val="none"/>
          <w:lang w:val="en-IN"/>
        </w:rPr>
        <w:t>BSE Bank</w:t>
      </w:r>
    </w:p>
    <w:p w14:paraId="57D4A45D">
      <w:pPr>
        <w:pStyle w:val="2"/>
        <w:rPr>
          <w:rFonts w:hint="default" w:ascii="Calibri" w:hAnsi="Calibri" w:cs="Calibri"/>
          <w:b w:val="0"/>
          <w:bCs/>
          <w:sz w:val="24"/>
          <w:szCs w:val="24"/>
          <w:lang w:val="en-IN"/>
        </w:rPr>
      </w:pPr>
      <w:r>
        <w:rPr>
          <w:rFonts w:hint="default" w:ascii="Calibri" w:hAnsi="Calibri" w:cs="Calibri"/>
          <w:b w:val="0"/>
          <w:bCs/>
          <w:sz w:val="24"/>
          <w:szCs w:val="24"/>
          <w:lang w:val="en-IN"/>
        </w:rPr>
        <w:drawing>
          <wp:inline distT="0" distB="0" distL="114300" distR="114300">
            <wp:extent cx="5943600" cy="2848610"/>
            <wp:effectExtent l="0" t="0" r="0" b="1270"/>
            <wp:docPr id="6" name="Picture 6" descr="Screensho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31)"/>
                    <pic:cNvPicPr>
                      <a:picLocks noChangeAspect="1"/>
                    </pic:cNvPicPr>
                  </pic:nvPicPr>
                  <pic:blipFill>
                    <a:blip r:embed="rId8"/>
                    <a:stretch>
                      <a:fillRect/>
                    </a:stretch>
                  </pic:blipFill>
                  <pic:spPr>
                    <a:xfrm>
                      <a:off x="0" y="0"/>
                      <a:ext cx="5943600" cy="2848610"/>
                    </a:xfrm>
                    <a:prstGeom prst="rect">
                      <a:avLst/>
                    </a:prstGeom>
                  </pic:spPr>
                </pic:pic>
              </a:graphicData>
            </a:graphic>
          </wp:inline>
        </w:drawing>
      </w:r>
      <w:r>
        <w:rPr>
          <w:rFonts w:hint="default" w:ascii="Calibri" w:hAnsi="Calibri" w:cs="Calibri"/>
          <w:b w:val="0"/>
          <w:bCs/>
          <w:sz w:val="24"/>
          <w:szCs w:val="24"/>
          <w:lang w:val="en-IN"/>
        </w:rPr>
        <w:t xml:space="preserve"> </w:t>
      </w:r>
    </w:p>
    <w:p w14:paraId="4394C3A3">
      <w:pPr>
        <w:pStyle w:val="2"/>
        <w:rPr>
          <w:rFonts w:hint="default" w:ascii="Calibri" w:hAnsi="Calibri" w:cs="Calibri"/>
          <w:b w:val="0"/>
          <w:bCs/>
          <w:sz w:val="24"/>
          <w:szCs w:val="24"/>
          <w:lang w:val="en-IN"/>
        </w:rPr>
      </w:pPr>
      <w:r>
        <w:rPr>
          <w:rFonts w:hint="default" w:ascii="Calibri" w:hAnsi="Calibri" w:cs="Calibri"/>
          <w:b w:val="0"/>
          <w:bCs/>
          <w:sz w:val="24"/>
          <w:szCs w:val="24"/>
          <w:lang w:val="en-IN"/>
        </w:rPr>
        <w:t>The daily chart of BSE Bank instinctively points us to the sharp spikes revealing us the inherent short term and mid term volatility in index price. The index began at 53897 points and closed at 59542 points with 10.47% gain. However, the Q1 gain is slightly higher than the annual gain which implies that the rest of three quarters, the price simply fell down from its Q1 close price and managed to regain this loss by the end of March, 2025. Also, notice that its P/E and P/B ratios are 14.32 and 2.46 only, the least of all indices discussed till now.</w:t>
      </w:r>
    </w:p>
    <w:p w14:paraId="4857C500">
      <w:pPr>
        <w:spacing w:before="120" w:after="240" w:line="275" w:lineRule="auto"/>
        <w:rPr>
          <w:rFonts w:hint="default" w:ascii="Calibri" w:hAnsi="Calibri" w:eastAsia="Google Sans Text" w:cs="Calibri"/>
          <w:b/>
          <w:bCs/>
          <w:color w:val="1B1C1D"/>
          <w:sz w:val="24"/>
          <w:szCs w:val="24"/>
          <w:u w:val="none"/>
          <w:lang w:val="en-IN"/>
        </w:rPr>
      </w:pPr>
      <w:r>
        <w:rPr>
          <w:rFonts w:hint="default" w:ascii="Calibri" w:hAnsi="Calibri" w:eastAsia="Google Sans Text" w:cs="Calibri"/>
          <w:b/>
          <w:bCs/>
          <w:color w:val="1B1C1D"/>
          <w:sz w:val="24"/>
          <w:szCs w:val="24"/>
          <w:u w:val="none"/>
          <w:lang w:val="en-IN"/>
        </w:rPr>
        <w:t>BSE Realty</w:t>
      </w:r>
    </w:p>
    <w:p w14:paraId="6230710F">
      <w:pPr>
        <w:spacing w:before="120" w:after="240" w:line="275" w:lineRule="auto"/>
        <w:rPr>
          <w:rFonts w:hint="default" w:ascii="Calibri" w:hAnsi="Calibri" w:eastAsia="Google Sans Text" w:cs="Calibri"/>
          <w:color w:val="1B1C1D"/>
          <w:sz w:val="24"/>
          <w:szCs w:val="24"/>
          <w:lang w:val="en-IN"/>
        </w:rPr>
      </w:pPr>
      <w:r>
        <w:rPr>
          <w:rFonts w:hint="default" w:ascii="Calibri" w:hAnsi="Calibri" w:eastAsia="Google Sans Text" w:cs="Calibri"/>
          <w:color w:val="1B1C1D"/>
          <w:sz w:val="24"/>
          <w:szCs w:val="24"/>
          <w:lang w:val="en-IN"/>
        </w:rPr>
        <w:drawing>
          <wp:inline distT="0" distB="0" distL="114300" distR="114300">
            <wp:extent cx="5943600" cy="2557780"/>
            <wp:effectExtent l="0" t="0" r="0" b="2540"/>
            <wp:docPr id="7" name="Picture 7" descr="Screenshot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22)"/>
                    <pic:cNvPicPr>
                      <a:picLocks noChangeAspect="1"/>
                    </pic:cNvPicPr>
                  </pic:nvPicPr>
                  <pic:blipFill>
                    <a:blip r:embed="rId9"/>
                    <a:stretch>
                      <a:fillRect/>
                    </a:stretch>
                  </pic:blipFill>
                  <pic:spPr>
                    <a:xfrm>
                      <a:off x="0" y="0"/>
                      <a:ext cx="5943600" cy="2557780"/>
                    </a:xfrm>
                    <a:prstGeom prst="rect">
                      <a:avLst/>
                    </a:prstGeom>
                  </pic:spPr>
                </pic:pic>
              </a:graphicData>
            </a:graphic>
          </wp:inline>
        </w:drawing>
      </w:r>
    </w:p>
    <w:p w14:paraId="05743FD5">
      <w:pPr>
        <w:rPr>
          <w:rFonts w:hint="default" w:ascii="Calibri" w:hAnsi="Calibri" w:cs="Calibri"/>
          <w:lang w:eastAsia="zh-CN"/>
        </w:rPr>
      </w:pPr>
    </w:p>
    <w:p w14:paraId="0273CE33">
      <w:pPr>
        <w:rPr>
          <w:rFonts w:hint="default" w:ascii="Calibri" w:hAnsi="Calibri" w:cs="Calibri"/>
          <w:lang w:val="en-IN" w:eastAsia="zh-CN"/>
        </w:rPr>
      </w:pPr>
      <w:r>
        <w:rPr>
          <w:rFonts w:hint="default" w:ascii="Calibri" w:hAnsi="Calibri" w:cs="Calibri"/>
          <w:lang w:val="en-IN" w:eastAsia="zh-CN"/>
        </w:rPr>
        <w:t>This index fell from 7405 points on 1</w:t>
      </w:r>
      <w:r>
        <w:rPr>
          <w:rFonts w:hint="default" w:ascii="Calibri" w:hAnsi="Calibri" w:cs="Calibri"/>
          <w:vertAlign w:val="superscript"/>
          <w:lang w:val="en-IN" w:eastAsia="zh-CN"/>
        </w:rPr>
        <w:t>st</w:t>
      </w:r>
      <w:r>
        <w:rPr>
          <w:rFonts w:hint="default" w:ascii="Calibri" w:hAnsi="Calibri" w:cs="Calibri"/>
          <w:lang w:val="en-IN" w:eastAsia="zh-CN"/>
        </w:rPr>
        <w:t xml:space="preserve"> April, 2024 to 6601 points on 28</w:t>
      </w:r>
      <w:r>
        <w:rPr>
          <w:rFonts w:hint="default" w:ascii="Calibri" w:hAnsi="Calibri" w:cs="Calibri"/>
          <w:vertAlign w:val="superscript"/>
          <w:lang w:val="en-IN" w:eastAsia="zh-CN"/>
        </w:rPr>
        <w:t>th</w:t>
      </w:r>
      <w:r>
        <w:rPr>
          <w:rFonts w:hint="default" w:ascii="Calibri" w:hAnsi="Calibri" w:cs="Calibri"/>
          <w:lang w:val="en-IN" w:eastAsia="zh-CN"/>
        </w:rPr>
        <w:t xml:space="preserve"> March, 2025 losing about 800 points (10.9% fall). The daily chart and the quarterly chart reveals the rise of stock price in first quarter, especially in June and volatile yet averaged around 8000 mark until last quarter where it witnessed two sharp collapses in months of late January and  March. The first quarter gain of 16.6% turned to 10.86% loss overall due to 4% and 18.9% loss in last two quarters. The P/E and P/B ratios of this index are the highest at 60.8 and 6.08 respectively.</w:t>
      </w:r>
    </w:p>
    <w:p w14:paraId="4D5E7333">
      <w:pPr>
        <w:rPr>
          <w:rFonts w:hint="default" w:ascii="Calibri" w:hAnsi="Calibri" w:cs="Calibri"/>
          <w:lang w:val="en-IN" w:eastAsia="zh-CN"/>
        </w:rPr>
      </w:pPr>
    </w:p>
    <w:p w14:paraId="0372A712">
      <w:pPr>
        <w:rPr>
          <w:rFonts w:hint="default" w:ascii="Calibri" w:hAnsi="Calibri" w:cs="Calibri"/>
          <w:lang w:val="en-IN" w:eastAsia="zh-CN"/>
        </w:rPr>
      </w:pPr>
    </w:p>
    <w:p w14:paraId="742DA9BE">
      <w:pPr>
        <w:rPr>
          <w:rFonts w:hint="default" w:ascii="Calibri" w:hAnsi="Calibri" w:cs="Calibri"/>
          <w:b/>
          <w:bCs/>
          <w:lang w:val="en-IN" w:eastAsia="zh-CN"/>
        </w:rPr>
      </w:pPr>
      <w:r>
        <w:rPr>
          <w:rFonts w:hint="default" w:ascii="Calibri" w:hAnsi="Calibri" w:cs="Calibri"/>
          <w:b/>
          <w:bCs/>
          <w:lang w:val="en-IN" w:eastAsia="zh-CN"/>
        </w:rPr>
        <w:t>BSE Auto</w:t>
      </w:r>
    </w:p>
    <w:p w14:paraId="304C4D5D">
      <w:pPr>
        <w:rPr>
          <w:rFonts w:hint="default" w:ascii="Calibri" w:hAnsi="Calibri" w:cs="Calibri"/>
          <w:lang w:val="en-IN" w:eastAsia="zh-CN"/>
        </w:rPr>
      </w:pPr>
    </w:p>
    <w:p w14:paraId="2EE47C28">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943600" cy="2853055"/>
            <wp:effectExtent l="0" t="0" r="0" b="12065"/>
            <wp:docPr id="12" name="Picture 12"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27)"/>
                    <pic:cNvPicPr>
                      <a:picLocks noChangeAspect="1"/>
                    </pic:cNvPicPr>
                  </pic:nvPicPr>
                  <pic:blipFill>
                    <a:blip r:embed="rId10"/>
                    <a:stretch>
                      <a:fillRect/>
                    </a:stretch>
                  </pic:blipFill>
                  <pic:spPr>
                    <a:xfrm>
                      <a:off x="0" y="0"/>
                      <a:ext cx="5943600" cy="2853055"/>
                    </a:xfrm>
                    <a:prstGeom prst="rect">
                      <a:avLst/>
                    </a:prstGeom>
                  </pic:spPr>
                </pic:pic>
              </a:graphicData>
            </a:graphic>
          </wp:inline>
        </w:drawing>
      </w:r>
    </w:p>
    <w:p w14:paraId="7D884B97">
      <w:pPr>
        <w:rPr>
          <w:rFonts w:hint="default" w:ascii="Calibri" w:hAnsi="Calibri" w:cs="Calibri"/>
          <w:lang w:val="en-IN" w:eastAsia="zh-CN"/>
        </w:rPr>
      </w:pPr>
    </w:p>
    <w:p w14:paraId="39E4BED0">
      <w:pPr>
        <w:rPr>
          <w:rFonts w:hint="default" w:ascii="Calibri" w:hAnsi="Calibri" w:cs="Calibri"/>
          <w:lang w:val="en-IN" w:eastAsia="zh-CN"/>
        </w:rPr>
      </w:pPr>
      <w:r>
        <w:rPr>
          <w:rFonts w:hint="default" w:ascii="Calibri" w:hAnsi="Calibri" w:cs="Calibri"/>
          <w:lang w:val="en-IN" w:eastAsia="zh-CN"/>
        </w:rPr>
        <w:t>BSE Auto index suffered 2.68% loss by the year end despite 16.8% and 6% profits in first two quarters of the year. These profits are overturned by 15.6% and 8.8% losses in the latter half of the year.However, the P/E and P/B indicators are reasonably good at 25.40 and 6.01 respectively.</w:t>
      </w:r>
    </w:p>
    <w:p w14:paraId="3C847D50">
      <w:pPr>
        <w:rPr>
          <w:rFonts w:hint="default" w:ascii="Calibri" w:hAnsi="Calibri" w:cs="Calibri"/>
          <w:lang w:val="en-IN" w:eastAsia="zh-CN"/>
        </w:rPr>
      </w:pPr>
    </w:p>
    <w:p w14:paraId="0DC1ADE5">
      <w:pPr>
        <w:rPr>
          <w:rFonts w:hint="default" w:ascii="Calibri" w:hAnsi="Calibri" w:cs="Calibri"/>
          <w:b/>
          <w:bCs/>
          <w:lang w:val="en-IN" w:eastAsia="zh-CN"/>
        </w:rPr>
      </w:pPr>
      <w:r>
        <w:rPr>
          <w:rFonts w:hint="default" w:ascii="Calibri" w:hAnsi="Calibri" w:cs="Calibri"/>
          <w:b/>
          <w:bCs/>
          <w:lang w:val="en-IN" w:eastAsia="zh-CN"/>
        </w:rPr>
        <w:t>NIFTY Healthcare</w:t>
      </w:r>
    </w:p>
    <w:p w14:paraId="08B5D3AA">
      <w:pPr>
        <w:rPr>
          <w:rFonts w:hint="default" w:ascii="Calibri" w:hAnsi="Calibri" w:cs="Calibri"/>
          <w:lang w:val="en-IN" w:eastAsia="zh-CN"/>
        </w:rPr>
      </w:pPr>
    </w:p>
    <w:p w14:paraId="3FC7802E">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943600" cy="2379345"/>
            <wp:effectExtent l="0" t="0" r="0" b="13335"/>
            <wp:docPr id="8" name="Picture 8" descr="Screenshot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23)"/>
                    <pic:cNvPicPr>
                      <a:picLocks noChangeAspect="1"/>
                    </pic:cNvPicPr>
                  </pic:nvPicPr>
                  <pic:blipFill>
                    <a:blip r:embed="rId11"/>
                    <a:stretch>
                      <a:fillRect/>
                    </a:stretch>
                  </pic:blipFill>
                  <pic:spPr>
                    <a:xfrm>
                      <a:off x="0" y="0"/>
                      <a:ext cx="5943600" cy="2379345"/>
                    </a:xfrm>
                    <a:prstGeom prst="rect">
                      <a:avLst/>
                    </a:prstGeom>
                  </pic:spPr>
                </pic:pic>
              </a:graphicData>
            </a:graphic>
          </wp:inline>
        </w:drawing>
      </w:r>
    </w:p>
    <w:p w14:paraId="09D4D0C7">
      <w:pPr>
        <w:rPr>
          <w:rFonts w:hint="default" w:ascii="Calibri" w:hAnsi="Calibri" w:cs="Calibri"/>
          <w:lang w:val="en-IN" w:eastAsia="zh-CN"/>
        </w:rPr>
      </w:pPr>
    </w:p>
    <w:p w14:paraId="6905EB8B">
      <w:pPr>
        <w:rPr>
          <w:rFonts w:hint="default" w:ascii="Calibri" w:hAnsi="Calibri" w:cs="Calibri"/>
          <w:lang w:val="en-IN" w:eastAsia="zh-CN"/>
        </w:rPr>
      </w:pPr>
      <w:r>
        <w:rPr>
          <w:rFonts w:hint="default" w:ascii="Calibri" w:hAnsi="Calibri" w:cs="Calibri"/>
          <w:lang w:val="en-IN" w:eastAsia="zh-CN"/>
        </w:rPr>
        <w:t>NIFTY Healthcare mirrored its BSE counterpart with gains in first three quarters (highest peak in Q2) and loss in the last. However, its gain % is 12% compared to BSE Healthcare’s 16%. Its P/E and P/B ratios are comparatively lower at 37.62 and 5.87 respectively.</w:t>
      </w:r>
    </w:p>
    <w:p w14:paraId="19097920">
      <w:pPr>
        <w:rPr>
          <w:rFonts w:hint="default" w:ascii="Calibri" w:hAnsi="Calibri" w:cs="Calibri"/>
          <w:b/>
          <w:bCs/>
          <w:lang w:val="en-IN" w:eastAsia="zh-CN"/>
        </w:rPr>
      </w:pPr>
    </w:p>
    <w:p w14:paraId="334606CF">
      <w:pPr>
        <w:rPr>
          <w:rFonts w:hint="default" w:ascii="Calibri" w:hAnsi="Calibri" w:cs="Calibri"/>
          <w:b/>
          <w:bCs/>
          <w:lang w:val="en-IN" w:eastAsia="zh-CN"/>
        </w:rPr>
      </w:pPr>
      <w:r>
        <w:rPr>
          <w:rFonts w:hint="default" w:ascii="Calibri" w:hAnsi="Calibri" w:cs="Calibri"/>
          <w:b/>
          <w:bCs/>
          <w:lang w:val="en-IN" w:eastAsia="zh-CN"/>
        </w:rPr>
        <w:t>NIFTY BANK</w:t>
      </w:r>
    </w:p>
    <w:p w14:paraId="2D3C7F1E">
      <w:pPr>
        <w:rPr>
          <w:rFonts w:hint="default" w:ascii="Calibri" w:hAnsi="Calibri" w:cs="Calibri"/>
          <w:lang w:val="en-IN" w:eastAsia="zh-CN"/>
        </w:rPr>
      </w:pPr>
    </w:p>
    <w:p w14:paraId="22D7DCC9">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943600" cy="2683510"/>
            <wp:effectExtent l="0" t="0" r="0" b="13970"/>
            <wp:docPr id="9" name="Picture 9"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24)"/>
                    <pic:cNvPicPr>
                      <a:picLocks noChangeAspect="1"/>
                    </pic:cNvPicPr>
                  </pic:nvPicPr>
                  <pic:blipFill>
                    <a:blip r:embed="rId12"/>
                    <a:stretch>
                      <a:fillRect/>
                    </a:stretch>
                  </pic:blipFill>
                  <pic:spPr>
                    <a:xfrm>
                      <a:off x="0" y="0"/>
                      <a:ext cx="5943600" cy="2683510"/>
                    </a:xfrm>
                    <a:prstGeom prst="rect">
                      <a:avLst/>
                    </a:prstGeom>
                  </pic:spPr>
                </pic:pic>
              </a:graphicData>
            </a:graphic>
          </wp:inline>
        </w:drawing>
      </w:r>
    </w:p>
    <w:p w14:paraId="19BDF7FB">
      <w:pPr>
        <w:rPr>
          <w:rFonts w:hint="default" w:ascii="Calibri" w:hAnsi="Calibri" w:cs="Calibri"/>
          <w:lang w:eastAsia="zh-CN"/>
        </w:rPr>
      </w:pPr>
    </w:p>
    <w:p w14:paraId="4A7373EF">
      <w:pPr>
        <w:rPr>
          <w:rFonts w:hint="default" w:ascii="Calibri" w:hAnsi="Calibri" w:cs="Calibri"/>
          <w:lang w:val="en-IN" w:eastAsia="zh-CN"/>
        </w:rPr>
      </w:pPr>
      <w:r>
        <w:rPr>
          <w:rFonts w:hint="default" w:ascii="Calibri" w:hAnsi="Calibri" w:cs="Calibri"/>
          <w:lang w:val="en-IN" w:eastAsia="zh-CN"/>
        </w:rPr>
        <w:t>This is also similar to BSE BANK index. The overall gain % is comparatively low so as the P/E and P/B ratios.</w:t>
      </w:r>
    </w:p>
    <w:p w14:paraId="1B51BA31">
      <w:pPr>
        <w:rPr>
          <w:rFonts w:hint="default" w:ascii="Calibri" w:hAnsi="Calibri" w:cs="Calibri"/>
          <w:lang w:val="en-IN" w:eastAsia="zh-CN"/>
        </w:rPr>
      </w:pPr>
    </w:p>
    <w:p w14:paraId="5BB06573">
      <w:pPr>
        <w:rPr>
          <w:rFonts w:hint="default" w:ascii="Calibri" w:hAnsi="Calibri" w:cs="Calibri"/>
          <w:b/>
          <w:bCs/>
          <w:lang w:val="en-IN" w:eastAsia="zh-CN"/>
        </w:rPr>
      </w:pPr>
      <w:r>
        <w:rPr>
          <w:rFonts w:hint="default" w:ascii="Calibri" w:hAnsi="Calibri" w:cs="Calibri"/>
          <w:b/>
          <w:bCs/>
          <w:lang w:val="en-IN" w:eastAsia="zh-CN"/>
        </w:rPr>
        <w:t>NIFTY ENERGY</w:t>
      </w:r>
    </w:p>
    <w:p w14:paraId="0F032A30">
      <w:pPr>
        <w:rPr>
          <w:rFonts w:hint="default" w:ascii="Calibri" w:hAnsi="Calibri" w:cs="Calibri"/>
          <w:lang w:val="en-IN" w:eastAsia="zh-CN"/>
        </w:rPr>
      </w:pPr>
    </w:p>
    <w:p w14:paraId="41B752B9">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943600" cy="3283585"/>
            <wp:effectExtent l="0" t="0" r="0" b="8255"/>
            <wp:docPr id="10" name="Picture 10" descr="Screenshot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25)"/>
                    <pic:cNvPicPr>
                      <a:picLocks noChangeAspect="1"/>
                    </pic:cNvPicPr>
                  </pic:nvPicPr>
                  <pic:blipFill>
                    <a:blip r:embed="rId13"/>
                    <a:stretch>
                      <a:fillRect/>
                    </a:stretch>
                  </pic:blipFill>
                  <pic:spPr>
                    <a:xfrm>
                      <a:off x="0" y="0"/>
                      <a:ext cx="5943600" cy="3283585"/>
                    </a:xfrm>
                    <a:prstGeom prst="rect">
                      <a:avLst/>
                    </a:prstGeom>
                  </pic:spPr>
                </pic:pic>
              </a:graphicData>
            </a:graphic>
          </wp:inline>
        </w:drawing>
      </w:r>
    </w:p>
    <w:p w14:paraId="3B101E15">
      <w:pPr>
        <w:rPr>
          <w:rFonts w:hint="default" w:ascii="Calibri" w:hAnsi="Calibri" w:cs="Calibri"/>
          <w:lang w:val="en-IN" w:eastAsia="zh-CN"/>
        </w:rPr>
      </w:pPr>
    </w:p>
    <w:p w14:paraId="0561C50B">
      <w:pPr>
        <w:rPr>
          <w:rFonts w:hint="default" w:ascii="Calibri" w:hAnsi="Calibri" w:cs="Calibri"/>
          <w:lang w:val="en-IN" w:eastAsia="zh-CN"/>
        </w:rPr>
      </w:pPr>
    </w:p>
    <w:p w14:paraId="7D08354B">
      <w:pPr>
        <w:rPr>
          <w:rFonts w:hint="default" w:ascii="Calibri" w:hAnsi="Calibri" w:cs="Calibri"/>
          <w:lang w:val="en-IN" w:eastAsia="zh-CN"/>
        </w:rPr>
      </w:pPr>
      <w:r>
        <w:rPr>
          <w:rFonts w:hint="default" w:ascii="Calibri" w:hAnsi="Calibri" w:cs="Calibri"/>
          <w:lang w:val="en-IN" w:eastAsia="zh-CN"/>
        </w:rPr>
        <w:t>The highest loser among NIFTY sectoral indices is NIFTY ENERGY. Beginning the year at around 40000 points, it ended at 33,682 points losing about 6400 points (or 15%). The irony is that it ended up with 5% profit in the first half of the year but lost about 20% in third quarter alone and about 5% in the fourth quarter. The stock saw one fall after other every month in the second half. Interestingly, the P/E and P/B ratios of the index are just 15.70 and 2.47, suggesting how well valued these stocks are compared to other index stocks,</w:t>
      </w:r>
    </w:p>
    <w:p w14:paraId="2AC219C5">
      <w:pPr>
        <w:rPr>
          <w:rFonts w:hint="default" w:ascii="Calibri" w:hAnsi="Calibri" w:cs="Calibri"/>
          <w:lang w:val="en-IN" w:eastAsia="zh-CN"/>
        </w:rPr>
      </w:pPr>
    </w:p>
    <w:p w14:paraId="674D71A3">
      <w:pPr>
        <w:rPr>
          <w:rFonts w:hint="default" w:ascii="Calibri" w:hAnsi="Calibri" w:cs="Calibri"/>
          <w:b/>
          <w:bCs/>
          <w:lang w:val="en-IN" w:eastAsia="zh-CN"/>
        </w:rPr>
      </w:pPr>
      <w:r>
        <w:rPr>
          <w:rFonts w:hint="default" w:ascii="Calibri" w:hAnsi="Calibri" w:cs="Calibri"/>
          <w:b/>
          <w:bCs/>
          <w:lang w:val="en-IN" w:eastAsia="zh-CN"/>
        </w:rPr>
        <w:t>NIFTY Realty</w:t>
      </w:r>
    </w:p>
    <w:p w14:paraId="231D494D">
      <w:pPr>
        <w:rPr>
          <w:rFonts w:hint="default" w:ascii="Calibri" w:hAnsi="Calibri" w:cs="Calibri"/>
          <w:lang w:val="en-IN" w:eastAsia="zh-CN"/>
        </w:rPr>
      </w:pPr>
    </w:p>
    <w:p w14:paraId="63D7EAA3">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943600" cy="3343275"/>
            <wp:effectExtent l="0" t="0" r="0" b="9525"/>
            <wp:docPr id="11" name="Picture 11" descr="Screenshot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26)"/>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p>
    <w:p w14:paraId="4A4CC911">
      <w:pPr>
        <w:rPr>
          <w:rFonts w:hint="default" w:ascii="Calibri" w:hAnsi="Calibri" w:cs="Calibri"/>
          <w:lang w:val="en-IN" w:eastAsia="zh-CN"/>
        </w:rPr>
      </w:pPr>
    </w:p>
    <w:p w14:paraId="106B8B22">
      <w:pPr>
        <w:rPr>
          <w:rFonts w:hint="default" w:ascii="Calibri" w:hAnsi="Calibri" w:cs="Calibri"/>
          <w:lang w:val="en-IN" w:eastAsia="zh-CN"/>
        </w:rPr>
      </w:pPr>
      <w:r>
        <w:rPr>
          <w:rFonts w:hint="default" w:ascii="Calibri" w:hAnsi="Calibri" w:cs="Calibri"/>
          <w:lang w:val="en-IN" w:eastAsia="zh-CN"/>
        </w:rPr>
        <w:t>NIFTY Realty is another index which incurred severe loss. Beginning the year at price of 939rs, it ended up at 851rs. Though the loss in absolute numbers is less compared to other indices, it’s significant when expressed in percentage. Though the daily data shows steep fall only since January 2025, the quarterly chart shows the steep slope since end of quarter1. The 17.54% growth in Q1 followed by 0.19% loss in Q2, continued further to 4% in Q3 and stooped to 18% in the last quarter. Also, the P/E and P/B indicators are high enough to suggest over-valuation of these stocks.</w:t>
      </w:r>
    </w:p>
    <w:p w14:paraId="29C07A29">
      <w:pPr>
        <w:rPr>
          <w:rFonts w:hint="default" w:ascii="Calibri" w:hAnsi="Calibri" w:cs="Calibri"/>
          <w:lang w:val="en-IN" w:eastAsia="zh-CN"/>
        </w:rPr>
      </w:pPr>
    </w:p>
    <w:p w14:paraId="16D886B6">
      <w:pPr>
        <w:rPr>
          <w:rFonts w:hint="default" w:ascii="Calibri" w:hAnsi="Calibri" w:cs="Calibri"/>
          <w:lang w:val="en-IN" w:eastAsia="zh-CN"/>
        </w:rPr>
      </w:pPr>
    </w:p>
    <w:p w14:paraId="645D93C7">
      <w:pPr>
        <w:rPr>
          <w:rFonts w:hint="default" w:ascii="Calibri" w:hAnsi="Calibri" w:cs="Calibri"/>
          <w:b/>
          <w:bCs/>
          <w:lang w:val="en-IN" w:eastAsia="zh-CN"/>
        </w:rPr>
      </w:pPr>
    </w:p>
    <w:p w14:paraId="5BB85C89">
      <w:pPr>
        <w:rPr>
          <w:rFonts w:hint="default" w:ascii="Calibri" w:hAnsi="Calibri" w:cs="Calibri"/>
          <w:b/>
          <w:bCs/>
          <w:lang w:val="en-IN" w:eastAsia="zh-CN"/>
        </w:rPr>
      </w:pPr>
    </w:p>
    <w:p w14:paraId="5803688E">
      <w:pPr>
        <w:rPr>
          <w:rFonts w:hint="default" w:ascii="Calibri" w:hAnsi="Calibri" w:cs="Calibri"/>
          <w:b/>
          <w:bCs/>
          <w:lang w:val="en-IN" w:eastAsia="zh-CN"/>
        </w:rPr>
      </w:pPr>
    </w:p>
    <w:p w14:paraId="70E81499">
      <w:pPr>
        <w:rPr>
          <w:rFonts w:hint="default" w:ascii="Calibri" w:hAnsi="Calibri" w:cs="Calibri"/>
          <w:b/>
          <w:bCs/>
          <w:lang w:val="en-IN" w:eastAsia="zh-CN"/>
        </w:rPr>
      </w:pPr>
    </w:p>
    <w:p w14:paraId="7F350536">
      <w:pPr>
        <w:rPr>
          <w:rFonts w:hint="default" w:ascii="Calibri" w:hAnsi="Calibri" w:cs="Calibri"/>
          <w:b/>
          <w:bCs/>
          <w:lang w:val="en-IN" w:eastAsia="zh-CN"/>
        </w:rPr>
      </w:pPr>
    </w:p>
    <w:p w14:paraId="01BD8536">
      <w:pPr>
        <w:rPr>
          <w:rFonts w:hint="default" w:ascii="Calibri" w:hAnsi="Calibri" w:cs="Calibri"/>
          <w:b/>
          <w:bCs/>
          <w:lang w:val="en-IN" w:eastAsia="zh-CN"/>
        </w:rPr>
      </w:pPr>
    </w:p>
    <w:p w14:paraId="1C847E04">
      <w:pPr>
        <w:rPr>
          <w:rFonts w:hint="default" w:ascii="Calibri" w:hAnsi="Calibri" w:cs="Calibri"/>
          <w:b/>
          <w:bCs/>
          <w:lang w:val="en-IN" w:eastAsia="zh-CN"/>
        </w:rPr>
      </w:pPr>
    </w:p>
    <w:p w14:paraId="12DD0B02">
      <w:pPr>
        <w:rPr>
          <w:rFonts w:hint="default" w:ascii="Calibri" w:hAnsi="Calibri" w:cs="Calibri"/>
          <w:b/>
          <w:bCs/>
          <w:lang w:val="en-IN" w:eastAsia="zh-CN"/>
        </w:rPr>
      </w:pPr>
    </w:p>
    <w:p w14:paraId="095B518F">
      <w:pPr>
        <w:rPr>
          <w:rFonts w:hint="default" w:ascii="Calibri" w:hAnsi="Calibri" w:cs="Calibri"/>
          <w:b/>
          <w:bCs/>
          <w:lang w:val="en-IN" w:eastAsia="zh-CN"/>
        </w:rPr>
      </w:pPr>
    </w:p>
    <w:p w14:paraId="35B14795">
      <w:pPr>
        <w:rPr>
          <w:rFonts w:hint="default" w:ascii="Calibri" w:hAnsi="Calibri" w:cs="Calibri"/>
          <w:b/>
          <w:bCs/>
          <w:lang w:val="en-IN" w:eastAsia="zh-CN"/>
        </w:rPr>
      </w:pPr>
      <w:r>
        <w:rPr>
          <w:rFonts w:hint="default" w:ascii="Calibri" w:hAnsi="Calibri" w:cs="Calibri"/>
          <w:b/>
          <w:bCs/>
          <w:lang w:val="en-IN" w:eastAsia="zh-CN"/>
        </w:rPr>
        <w:t>BSE Midcap Segment</w:t>
      </w:r>
    </w:p>
    <w:p w14:paraId="630D4820">
      <w:pPr>
        <w:rPr>
          <w:rFonts w:hint="default" w:ascii="Calibri" w:hAnsi="Calibri" w:cs="Calibri"/>
          <w:b/>
          <w:bCs/>
          <w:lang w:val="en-IN" w:eastAsia="zh-CN"/>
        </w:rPr>
      </w:pPr>
    </w:p>
    <w:p w14:paraId="3D6F5F05">
      <w:pPr>
        <w:rPr>
          <w:rFonts w:hint="default" w:ascii="Calibri" w:hAnsi="Calibri" w:cs="Calibri"/>
          <w:b/>
          <w:bCs/>
          <w:lang w:val="en-IN" w:eastAsia="zh-CN"/>
        </w:rPr>
      </w:pPr>
      <w:r>
        <w:rPr>
          <w:rFonts w:hint="default" w:ascii="Calibri" w:hAnsi="Calibri" w:cs="Calibri"/>
          <w:b/>
          <w:bCs/>
          <w:lang w:val="en-IN" w:eastAsia="zh-CN"/>
        </w:rPr>
        <w:drawing>
          <wp:inline distT="0" distB="0" distL="114300" distR="114300">
            <wp:extent cx="5943600" cy="2783205"/>
            <wp:effectExtent l="0" t="0" r="0" b="5715"/>
            <wp:docPr id="13" name="Picture 13" descr="Screenshot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128)"/>
                    <pic:cNvPicPr>
                      <a:picLocks noChangeAspect="1"/>
                    </pic:cNvPicPr>
                  </pic:nvPicPr>
                  <pic:blipFill>
                    <a:blip r:embed="rId15"/>
                    <a:stretch>
                      <a:fillRect/>
                    </a:stretch>
                  </pic:blipFill>
                  <pic:spPr>
                    <a:xfrm>
                      <a:off x="0" y="0"/>
                      <a:ext cx="5943600" cy="2783205"/>
                    </a:xfrm>
                    <a:prstGeom prst="rect">
                      <a:avLst/>
                    </a:prstGeom>
                  </pic:spPr>
                </pic:pic>
              </a:graphicData>
            </a:graphic>
          </wp:inline>
        </w:drawing>
      </w:r>
    </w:p>
    <w:p w14:paraId="2FAE3C39">
      <w:pPr>
        <w:pStyle w:val="3"/>
        <w:rPr>
          <w:rFonts w:hint="default" w:ascii="Calibri" w:hAnsi="Calibri" w:cs="Calibri"/>
          <w:b w:val="0"/>
          <w:bCs/>
          <w:sz w:val="28"/>
          <w:szCs w:val="28"/>
          <w:u w:val="none"/>
          <w:lang w:val="en-IN" w:eastAsia="zh-CN"/>
        </w:rPr>
      </w:pPr>
      <w:r>
        <w:rPr>
          <w:rFonts w:hint="default" w:ascii="Calibri" w:hAnsi="Calibri" w:cs="Calibri"/>
          <w:b w:val="0"/>
          <w:bCs/>
          <w:sz w:val="28"/>
          <w:szCs w:val="28"/>
          <w:u w:val="none"/>
          <w:lang w:val="en-IN" w:eastAsia="zh-CN"/>
        </w:rPr>
        <w:t>BSE midcap outperformed BSE smallcap and BSE largecap registering 6.22% growth this year but observe that its quarterly chart shows downward trend. The 16.4% growth in Q1 fell down to 6.8% gain, followed by 6.6% and 10% losses in latter two quarters, which is clearly a bad signfor the index. Coming to valuation indicators, the ratios are looking good at 23.20 and 3.95 respectively. Just to mention, BSE small cap also showed a similar down trend suffering 15% loss in Q4.</w:t>
      </w:r>
    </w:p>
    <w:p w14:paraId="76A87666">
      <w:pPr>
        <w:pStyle w:val="3"/>
        <w:rPr>
          <w:rFonts w:hint="default" w:ascii="Calibri" w:hAnsi="Calibri" w:cs="Calibri"/>
          <w:b/>
          <w:bCs w:val="0"/>
          <w:sz w:val="24"/>
          <w:szCs w:val="24"/>
          <w:u w:val="none"/>
          <w:lang w:val="en-IN" w:eastAsia="zh-CN"/>
        </w:rPr>
      </w:pPr>
      <w:r>
        <w:rPr>
          <w:rFonts w:hint="default" w:ascii="Calibri" w:hAnsi="Calibri" w:cs="Calibri"/>
          <w:b/>
          <w:bCs w:val="0"/>
          <w:sz w:val="24"/>
          <w:szCs w:val="24"/>
          <w:u w:val="none"/>
          <w:lang w:val="en-IN" w:eastAsia="zh-CN"/>
        </w:rPr>
        <w:t>NIFTY Small Cap 50</w:t>
      </w:r>
    </w:p>
    <w:p w14:paraId="1D8201FC">
      <w:pPr>
        <w:pStyle w:val="3"/>
        <w:rPr>
          <w:rFonts w:hint="default" w:ascii="Calibri" w:hAnsi="Calibri" w:cs="Calibri"/>
          <w:sz w:val="28"/>
          <w:szCs w:val="28"/>
          <w:u w:val="single"/>
          <w:lang w:val="en-IN" w:eastAsia="zh-CN"/>
        </w:rPr>
      </w:pPr>
      <w:r>
        <w:rPr>
          <w:rFonts w:hint="default" w:ascii="Calibri" w:hAnsi="Calibri" w:cs="Calibri"/>
          <w:sz w:val="28"/>
          <w:szCs w:val="28"/>
          <w:u w:val="single"/>
          <w:lang w:val="en-IN" w:eastAsia="zh-CN"/>
        </w:rPr>
        <w:drawing>
          <wp:inline distT="0" distB="0" distL="114300" distR="114300">
            <wp:extent cx="5943600" cy="2841625"/>
            <wp:effectExtent l="0" t="0" r="0" b="8255"/>
            <wp:docPr id="14" name="Picture 14" descr="Screenshot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129)"/>
                    <pic:cNvPicPr>
                      <a:picLocks noChangeAspect="1"/>
                    </pic:cNvPicPr>
                  </pic:nvPicPr>
                  <pic:blipFill>
                    <a:blip r:embed="rId16"/>
                    <a:stretch>
                      <a:fillRect/>
                    </a:stretch>
                  </pic:blipFill>
                  <pic:spPr>
                    <a:xfrm>
                      <a:off x="0" y="0"/>
                      <a:ext cx="5943600" cy="2841625"/>
                    </a:xfrm>
                    <a:prstGeom prst="rect">
                      <a:avLst/>
                    </a:prstGeom>
                  </pic:spPr>
                </pic:pic>
              </a:graphicData>
            </a:graphic>
          </wp:inline>
        </w:drawing>
      </w:r>
    </w:p>
    <w:p w14:paraId="7465F72E">
      <w:pPr>
        <w:pStyle w:val="3"/>
        <w:rPr>
          <w:rFonts w:hint="default" w:ascii="Calibri" w:hAnsi="Calibri" w:cs="Calibri"/>
          <w:b w:val="0"/>
          <w:bCs/>
          <w:sz w:val="24"/>
          <w:szCs w:val="24"/>
          <w:u w:val="none"/>
          <w:lang w:val="en-IN" w:eastAsia="zh-CN"/>
        </w:rPr>
      </w:pPr>
      <w:r>
        <w:rPr>
          <w:rFonts w:hint="default" w:ascii="Calibri" w:hAnsi="Calibri" w:cs="Calibri"/>
          <w:b w:val="0"/>
          <w:bCs/>
          <w:sz w:val="24"/>
          <w:szCs w:val="24"/>
          <w:u w:val="none"/>
          <w:lang w:val="en-IN" w:eastAsia="zh-CN"/>
        </w:rPr>
        <w:t>Nifty Smallcap50 showed better returns compared to Nifty Largemidcap 250 and Nifty Midcap 50. However, it shows the same downward trend as other segment indices quarter-wise. Also, this index showed sharp shoot and dip compared to others indicating high price volatility.</w:t>
      </w:r>
    </w:p>
    <w:p w14:paraId="13178F3A">
      <w:pPr>
        <w:pStyle w:val="3"/>
        <w:rPr>
          <w:rFonts w:hint="default" w:ascii="Calibri" w:hAnsi="Calibri" w:cs="Calibri"/>
          <w:sz w:val="28"/>
          <w:szCs w:val="28"/>
          <w:u w:val="single"/>
          <w:lang w:eastAsia="zh-CN"/>
        </w:rPr>
      </w:pPr>
    </w:p>
    <w:p w14:paraId="26FC4BBD">
      <w:pPr>
        <w:pStyle w:val="3"/>
        <w:rPr>
          <w:rFonts w:hint="default" w:ascii="Calibri" w:hAnsi="Calibri" w:cs="Calibri"/>
          <w:sz w:val="28"/>
          <w:szCs w:val="28"/>
          <w:u w:val="single"/>
          <w:lang w:val="en-IN" w:eastAsia="zh-CN"/>
        </w:rPr>
      </w:pPr>
      <w:r>
        <w:rPr>
          <w:rFonts w:hint="default" w:ascii="Calibri" w:hAnsi="Calibri" w:cs="Calibri"/>
          <w:sz w:val="28"/>
          <w:szCs w:val="28"/>
          <w:u w:val="single"/>
          <w:lang w:eastAsia="zh-CN"/>
        </w:rPr>
        <w:t>IPO SUMMARY</w:t>
      </w:r>
      <w:r>
        <w:rPr>
          <w:rFonts w:hint="default" w:ascii="Calibri" w:hAnsi="Calibri" w:cs="Calibri"/>
          <w:sz w:val="28"/>
          <w:szCs w:val="28"/>
          <w:u w:val="single"/>
          <w:lang w:val="en-IN" w:eastAsia="zh-CN"/>
        </w:rPr>
        <w:t xml:space="preserve"> </w:t>
      </w:r>
    </w:p>
    <w:p w14:paraId="715D1EAF">
      <w:pPr>
        <w:pStyle w:val="13"/>
        <w:rPr>
          <w:rFonts w:hint="default" w:ascii="Calibri" w:hAnsi="Calibri" w:cs="Calibri"/>
          <w:lang w:val="en-IN" w:eastAsia="zh-CN"/>
        </w:rPr>
      </w:pPr>
      <w:r>
        <w:rPr>
          <w:rFonts w:hint="default" w:ascii="Calibri" w:hAnsi="Calibri" w:eastAsia="Times New Roman" w:cs="Calibri"/>
          <w:lang w:val="en-IN" w:eastAsia="en-GB"/>
        </w:rPr>
        <w:t>The IPO dashboard presents a detailed snapshot of 256 IPOs,</w:t>
      </w:r>
      <w:r>
        <w:rPr>
          <w:rFonts w:hint="default" w:ascii="Calibri" w:hAnsi="Calibri" w:eastAsia="Times New Roman" w:cs="Calibri"/>
          <w:lang w:val="en-IN" w:eastAsia="en-GB"/>
        </w:rPr>
        <w:t xml:space="preserve"> </w:t>
      </w:r>
      <w:r>
        <w:rPr>
          <w:rFonts w:hint="default" w:ascii="Calibri" w:hAnsi="Calibri" w:eastAsia="Times New Roman" w:cs="Calibri"/>
          <w:lang w:val="en-IN" w:eastAsia="en-GB"/>
        </w:rPr>
        <w:t xml:space="preserve"> with a total issue size of ₹164.22</w:t>
      </w:r>
      <w:r>
        <w:rPr>
          <w:rFonts w:hint="default" w:ascii="Calibri" w:hAnsi="Calibri" w:eastAsia="Times New Roman" w:cs="Calibri"/>
          <w:lang w:val="en-IN" w:eastAsia="en-GB"/>
        </w:rPr>
        <w:t xml:space="preserve"> thousand </w:t>
      </w:r>
      <w:r>
        <w:rPr>
          <w:rFonts w:hint="default" w:ascii="Calibri" w:hAnsi="Calibri" w:eastAsia="Times New Roman" w:cs="Calibri"/>
          <w:lang w:val="en-IN" w:eastAsia="en-GB"/>
        </w:rPr>
        <w:t>crore and an average issue price of ₹180.34. The average listing gain stands at a notable 40%, while long-term gains average 32.94%, indicating strong post-listing performance. Key performers include Waaree Energies, leading both in listing gain (₹1,047) and long-term gain (₹1,418), and Winsol Engineers, which recorded the highest listing gain percentage of 411%.</w:t>
      </w:r>
    </w:p>
    <w:p w14:paraId="4EF06EFF">
      <w:pPr>
        <w:rPr>
          <w:rFonts w:hint="default" w:ascii="Calibri" w:hAnsi="Calibri" w:cs="Calibri"/>
          <w:lang w:val="en-IN" w:eastAsia="zh-CN"/>
        </w:rPr>
      </w:pPr>
    </w:p>
    <w:p w14:paraId="2337C9C7">
      <w:pPr>
        <w:rPr>
          <w:rFonts w:hint="default" w:ascii="Calibri" w:hAnsi="Calibri" w:cs="Calibri"/>
          <w:lang w:val="en-IN" w:eastAsia="zh-CN"/>
        </w:rPr>
      </w:pPr>
      <w:r>
        <w:rPr>
          <w:rFonts w:hint="default" w:ascii="Calibri" w:hAnsi="Calibri" w:cs="Calibri"/>
          <w:lang w:val="en-IN" w:eastAsia="zh-CN"/>
        </w:rPr>
        <w:drawing>
          <wp:inline distT="0" distB="0" distL="114300" distR="114300">
            <wp:extent cx="5943600" cy="3343275"/>
            <wp:effectExtent l="0" t="0" r="0" b="9525"/>
            <wp:docPr id="2" name="Pictur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21)"/>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14:paraId="7556B523">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rPr>
        <w:br w:type="textWrapping"/>
      </w:r>
      <w:r>
        <w:rPr>
          <w:rFonts w:hint="default" w:ascii="Calibri" w:hAnsi="Calibri" w:eastAsia="Times New Roman" w:cs="Calibri"/>
          <w:sz w:val="24"/>
          <w:szCs w:val="24"/>
          <w:lang w:val="en-IN"/>
        </w:rPr>
        <w:t>Key Details from the report: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91"/>
        <w:gridCol w:w="1492"/>
        <w:gridCol w:w="1928"/>
        <w:gridCol w:w="1736"/>
        <w:gridCol w:w="2528"/>
      </w:tblGrid>
      <w:tr w14:paraId="21FDB8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vMerge w:val="restart"/>
          </w:tcPr>
          <w:p w14:paraId="557D548F">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Parameter</w:t>
            </w:r>
          </w:p>
        </w:tc>
        <w:tc>
          <w:tcPr>
            <w:tcW w:w="1492" w:type="dxa"/>
            <w:vMerge w:val="restart"/>
          </w:tcPr>
          <w:p w14:paraId="49050912">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Mainboard IPO</w:t>
            </w:r>
          </w:p>
        </w:tc>
        <w:tc>
          <w:tcPr>
            <w:tcW w:w="6192" w:type="dxa"/>
            <w:gridSpan w:val="3"/>
          </w:tcPr>
          <w:p w14:paraId="1D37AA6C">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SME IPO</w:t>
            </w:r>
          </w:p>
        </w:tc>
      </w:tr>
      <w:tr w14:paraId="5F7998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vMerge w:val="continue"/>
          </w:tcPr>
          <w:p w14:paraId="70CBF020">
            <w:pPr>
              <w:widowControl/>
              <w:spacing w:before="100" w:beforeAutospacing="1" w:after="100" w:afterAutospacing="1"/>
              <w:jc w:val="center"/>
              <w:rPr>
                <w:rFonts w:hint="default" w:ascii="Calibri" w:hAnsi="Calibri" w:eastAsia="Times New Roman" w:cs="Calibri"/>
                <w:sz w:val="24"/>
                <w:szCs w:val="24"/>
                <w:vertAlign w:val="baseline"/>
                <w:lang w:val="en-IN"/>
              </w:rPr>
            </w:pPr>
          </w:p>
        </w:tc>
        <w:tc>
          <w:tcPr>
            <w:tcW w:w="1492" w:type="dxa"/>
            <w:vMerge w:val="continue"/>
          </w:tcPr>
          <w:p w14:paraId="3CE234BC">
            <w:pPr>
              <w:widowControl/>
              <w:spacing w:before="100" w:beforeAutospacing="1" w:after="100" w:afterAutospacing="1"/>
              <w:jc w:val="center"/>
              <w:rPr>
                <w:rFonts w:hint="default" w:ascii="Calibri" w:hAnsi="Calibri" w:eastAsia="Times New Roman" w:cs="Calibri"/>
                <w:sz w:val="24"/>
                <w:szCs w:val="24"/>
                <w:vertAlign w:val="baseline"/>
                <w:lang w:val="en-IN"/>
              </w:rPr>
            </w:pPr>
          </w:p>
        </w:tc>
        <w:tc>
          <w:tcPr>
            <w:tcW w:w="1928" w:type="dxa"/>
          </w:tcPr>
          <w:p w14:paraId="685F7CEF">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Overall</w:t>
            </w:r>
          </w:p>
        </w:tc>
        <w:tc>
          <w:tcPr>
            <w:tcW w:w="1736" w:type="dxa"/>
            <w:shd w:val="clear" w:color="auto" w:fill="auto"/>
            <w:vAlign w:val="top"/>
          </w:tcPr>
          <w:p w14:paraId="36712B23">
            <w:pPr>
              <w:widowControl/>
              <w:spacing w:before="100" w:beforeAutospacing="1" w:after="100" w:afterAutospacing="1"/>
              <w:jc w:val="center"/>
              <w:rPr>
                <w:rFonts w:hint="default" w:ascii="Calibri" w:hAnsi="Calibri" w:eastAsia="Times New Roman" w:cs="Calibri"/>
                <w:sz w:val="24"/>
                <w:szCs w:val="24"/>
                <w:vertAlign w:val="baseline"/>
                <w:lang w:val="en-IN" w:eastAsia="en-GB" w:bidi="ar-SA"/>
              </w:rPr>
            </w:pPr>
            <w:r>
              <w:rPr>
                <w:rFonts w:hint="default" w:ascii="Calibri" w:hAnsi="Calibri" w:eastAsia="Times New Roman" w:cs="Calibri"/>
                <w:sz w:val="24"/>
                <w:szCs w:val="24"/>
                <w:vertAlign w:val="baseline"/>
                <w:lang w:val="en-IN"/>
              </w:rPr>
              <w:t>NSE</w:t>
            </w:r>
          </w:p>
        </w:tc>
        <w:tc>
          <w:tcPr>
            <w:tcW w:w="2528" w:type="dxa"/>
            <w:shd w:val="clear" w:color="auto" w:fill="auto"/>
            <w:vAlign w:val="top"/>
          </w:tcPr>
          <w:p w14:paraId="60C4D056">
            <w:pPr>
              <w:widowControl/>
              <w:spacing w:before="100" w:beforeAutospacing="1" w:after="100" w:afterAutospacing="1"/>
              <w:jc w:val="center"/>
              <w:rPr>
                <w:rFonts w:hint="default" w:ascii="Calibri" w:hAnsi="Calibri" w:eastAsia="Times New Roman" w:cs="Calibri"/>
                <w:sz w:val="24"/>
                <w:szCs w:val="24"/>
                <w:vertAlign w:val="baseline"/>
                <w:lang w:val="en-IN" w:eastAsia="en-GB" w:bidi="ar-SA"/>
              </w:rPr>
            </w:pPr>
            <w:r>
              <w:rPr>
                <w:rFonts w:hint="default" w:ascii="Calibri" w:hAnsi="Calibri" w:eastAsia="Times New Roman" w:cs="Calibri"/>
                <w:sz w:val="24"/>
                <w:szCs w:val="24"/>
                <w:vertAlign w:val="baseline"/>
                <w:lang w:val="en-IN"/>
              </w:rPr>
              <w:t>BSE</w:t>
            </w:r>
          </w:p>
        </w:tc>
      </w:tr>
      <w:tr w14:paraId="4A6604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76EC385F">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Number of IPOs</w:t>
            </w:r>
          </w:p>
        </w:tc>
        <w:tc>
          <w:tcPr>
            <w:tcW w:w="1492" w:type="dxa"/>
          </w:tcPr>
          <w:p w14:paraId="24F557B2">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72</w:t>
            </w:r>
          </w:p>
        </w:tc>
        <w:tc>
          <w:tcPr>
            <w:tcW w:w="1928" w:type="dxa"/>
          </w:tcPr>
          <w:p w14:paraId="0E08E7A3">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184</w:t>
            </w:r>
          </w:p>
        </w:tc>
        <w:tc>
          <w:tcPr>
            <w:tcW w:w="1736" w:type="dxa"/>
            <w:shd w:val="clear" w:color="auto" w:fill="auto"/>
            <w:vAlign w:val="top"/>
          </w:tcPr>
          <w:p w14:paraId="233DBFE3">
            <w:pPr>
              <w:widowControl/>
              <w:spacing w:before="100" w:beforeAutospacing="1" w:after="100" w:afterAutospacing="1"/>
              <w:jc w:val="center"/>
              <w:rPr>
                <w:rFonts w:hint="default" w:ascii="Calibri" w:hAnsi="Calibri" w:eastAsia="Times New Roman" w:cs="Calibri"/>
                <w:sz w:val="24"/>
                <w:szCs w:val="24"/>
                <w:vertAlign w:val="baseline"/>
                <w:lang w:val="en-IN" w:eastAsia="en-GB" w:bidi="ar-SA"/>
              </w:rPr>
            </w:pPr>
            <w:r>
              <w:rPr>
                <w:rFonts w:hint="default" w:ascii="Calibri" w:hAnsi="Calibri" w:eastAsia="Times New Roman" w:cs="Calibri"/>
                <w:sz w:val="24"/>
                <w:szCs w:val="24"/>
                <w:vertAlign w:val="baseline"/>
                <w:lang w:val="en-IN"/>
              </w:rPr>
              <w:t>125</w:t>
            </w:r>
          </w:p>
        </w:tc>
        <w:tc>
          <w:tcPr>
            <w:tcW w:w="2528" w:type="dxa"/>
            <w:shd w:val="clear" w:color="auto" w:fill="auto"/>
            <w:vAlign w:val="top"/>
          </w:tcPr>
          <w:p w14:paraId="3A0A9770">
            <w:pPr>
              <w:widowControl/>
              <w:spacing w:before="100" w:beforeAutospacing="1" w:after="100" w:afterAutospacing="1"/>
              <w:jc w:val="center"/>
              <w:rPr>
                <w:rFonts w:hint="default" w:ascii="Calibri" w:hAnsi="Calibri" w:eastAsia="Times New Roman" w:cs="Calibri"/>
                <w:sz w:val="24"/>
                <w:szCs w:val="24"/>
                <w:vertAlign w:val="baseline"/>
                <w:lang w:val="en-IN" w:eastAsia="en-GB" w:bidi="ar-SA"/>
              </w:rPr>
            </w:pPr>
            <w:r>
              <w:rPr>
                <w:rFonts w:hint="default" w:ascii="Calibri" w:hAnsi="Calibri" w:eastAsia="Times New Roman" w:cs="Calibri"/>
                <w:sz w:val="24"/>
                <w:szCs w:val="24"/>
                <w:vertAlign w:val="baseline"/>
                <w:lang w:val="en-IN"/>
              </w:rPr>
              <w:t>64</w:t>
            </w:r>
          </w:p>
        </w:tc>
      </w:tr>
      <w:tr w14:paraId="091A1A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3817EB41">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Issue Size (Thousand Crores)</w:t>
            </w:r>
          </w:p>
        </w:tc>
        <w:tc>
          <w:tcPr>
            <w:tcW w:w="1492" w:type="dxa"/>
          </w:tcPr>
          <w:p w14:paraId="07E6668F">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155.95</w:t>
            </w:r>
          </w:p>
        </w:tc>
        <w:tc>
          <w:tcPr>
            <w:tcW w:w="1928" w:type="dxa"/>
          </w:tcPr>
          <w:p w14:paraId="36471BB5">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8.27</w:t>
            </w:r>
          </w:p>
        </w:tc>
        <w:tc>
          <w:tcPr>
            <w:tcW w:w="1736" w:type="dxa"/>
            <w:shd w:val="clear" w:color="auto" w:fill="auto"/>
            <w:vAlign w:val="top"/>
          </w:tcPr>
          <w:p w14:paraId="7B06EB58">
            <w:pPr>
              <w:widowControl/>
              <w:spacing w:before="100" w:beforeAutospacing="1" w:after="100" w:afterAutospacing="1"/>
              <w:jc w:val="center"/>
              <w:rPr>
                <w:rFonts w:hint="default" w:ascii="Calibri" w:hAnsi="Calibri" w:eastAsia="Times New Roman" w:cs="Calibri"/>
                <w:sz w:val="24"/>
                <w:szCs w:val="24"/>
                <w:vertAlign w:val="baseline"/>
                <w:lang w:val="en-IN" w:eastAsia="en-GB" w:bidi="ar-SA"/>
              </w:rPr>
            </w:pPr>
            <w:r>
              <w:rPr>
                <w:rFonts w:hint="default" w:ascii="Calibri" w:hAnsi="Calibri" w:eastAsia="Times New Roman" w:cs="Calibri"/>
                <w:sz w:val="24"/>
                <w:szCs w:val="24"/>
                <w:vertAlign w:val="baseline"/>
                <w:lang w:val="en-IN"/>
              </w:rPr>
              <w:t>5.94</w:t>
            </w:r>
          </w:p>
        </w:tc>
        <w:tc>
          <w:tcPr>
            <w:tcW w:w="2528" w:type="dxa"/>
            <w:shd w:val="clear" w:color="auto" w:fill="auto"/>
            <w:vAlign w:val="top"/>
          </w:tcPr>
          <w:p w14:paraId="6A503905">
            <w:pPr>
              <w:widowControl/>
              <w:spacing w:before="100" w:beforeAutospacing="1" w:after="100" w:afterAutospacing="1"/>
              <w:jc w:val="center"/>
              <w:rPr>
                <w:rFonts w:hint="default" w:ascii="Calibri" w:hAnsi="Calibri" w:eastAsia="Times New Roman" w:cs="Calibri"/>
                <w:sz w:val="24"/>
                <w:szCs w:val="24"/>
                <w:vertAlign w:val="baseline"/>
                <w:lang w:val="en-IN" w:eastAsia="en-GB" w:bidi="ar-SA"/>
              </w:rPr>
            </w:pPr>
            <w:r>
              <w:rPr>
                <w:rFonts w:hint="default" w:ascii="Calibri" w:hAnsi="Calibri" w:eastAsia="Times New Roman" w:cs="Calibri"/>
                <w:sz w:val="24"/>
                <w:szCs w:val="24"/>
                <w:vertAlign w:val="baseline"/>
                <w:lang w:val="en-IN"/>
              </w:rPr>
              <w:t>2.33</w:t>
            </w:r>
          </w:p>
        </w:tc>
      </w:tr>
      <w:tr w14:paraId="6A362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38471E4E">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Average Issue Price</w:t>
            </w:r>
          </w:p>
        </w:tc>
        <w:tc>
          <w:tcPr>
            <w:tcW w:w="1492" w:type="dxa"/>
          </w:tcPr>
          <w:p w14:paraId="2C8E8B3E">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384.73</w:t>
            </w:r>
          </w:p>
        </w:tc>
        <w:tc>
          <w:tcPr>
            <w:tcW w:w="1928" w:type="dxa"/>
          </w:tcPr>
          <w:p w14:paraId="55027DCD">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102.91</w:t>
            </w:r>
          </w:p>
        </w:tc>
        <w:tc>
          <w:tcPr>
            <w:tcW w:w="1736" w:type="dxa"/>
          </w:tcPr>
          <w:p w14:paraId="26B4BC42">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106.83</w:t>
            </w:r>
          </w:p>
        </w:tc>
        <w:tc>
          <w:tcPr>
            <w:tcW w:w="2528" w:type="dxa"/>
          </w:tcPr>
          <w:p w14:paraId="5E30A252">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94.91</w:t>
            </w:r>
          </w:p>
        </w:tc>
      </w:tr>
      <w:tr w14:paraId="662C01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1B12286F">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Average List Gain</w:t>
            </w:r>
          </w:p>
        </w:tc>
        <w:tc>
          <w:tcPr>
            <w:tcW w:w="1492" w:type="dxa"/>
          </w:tcPr>
          <w:p w14:paraId="47E2CAAE">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26%</w:t>
            </w:r>
          </w:p>
        </w:tc>
        <w:tc>
          <w:tcPr>
            <w:tcW w:w="1928" w:type="dxa"/>
          </w:tcPr>
          <w:p w14:paraId="143B7EB5">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45%</w:t>
            </w:r>
          </w:p>
        </w:tc>
        <w:tc>
          <w:tcPr>
            <w:tcW w:w="1736" w:type="dxa"/>
          </w:tcPr>
          <w:p w14:paraId="762E5BB9">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50%</w:t>
            </w:r>
          </w:p>
        </w:tc>
        <w:tc>
          <w:tcPr>
            <w:tcW w:w="2528" w:type="dxa"/>
          </w:tcPr>
          <w:p w14:paraId="5825D27E">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35%</w:t>
            </w:r>
          </w:p>
        </w:tc>
      </w:tr>
      <w:tr w14:paraId="5082A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7857D758">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 xml:space="preserve">Average Long term Gain </w:t>
            </w:r>
          </w:p>
        </w:tc>
        <w:tc>
          <w:tcPr>
            <w:tcW w:w="1492" w:type="dxa"/>
          </w:tcPr>
          <w:p w14:paraId="7DBF3C8C">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12.47%</w:t>
            </w:r>
          </w:p>
        </w:tc>
        <w:tc>
          <w:tcPr>
            <w:tcW w:w="1928" w:type="dxa"/>
          </w:tcPr>
          <w:p w14:paraId="309EB654">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40.69%</w:t>
            </w:r>
          </w:p>
        </w:tc>
        <w:tc>
          <w:tcPr>
            <w:tcW w:w="1736" w:type="dxa"/>
          </w:tcPr>
          <w:p w14:paraId="4D9CC4C4">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52.53%</w:t>
            </w:r>
          </w:p>
        </w:tc>
        <w:tc>
          <w:tcPr>
            <w:tcW w:w="2528" w:type="dxa"/>
          </w:tcPr>
          <w:p w14:paraId="1FB93EBC">
            <w:pPr>
              <w:widowControl/>
              <w:spacing w:before="100" w:beforeAutospacing="1" w:after="100" w:afterAutospacing="1"/>
              <w:jc w:val="center"/>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16.46%</w:t>
            </w:r>
          </w:p>
        </w:tc>
      </w:tr>
      <w:tr w14:paraId="032FA6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78B0092A">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Top IPO by List Gain %</w:t>
            </w:r>
          </w:p>
        </w:tc>
        <w:tc>
          <w:tcPr>
            <w:tcW w:w="1492" w:type="dxa"/>
          </w:tcPr>
          <w:p w14:paraId="7F4267FA">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Mamata Machinery Ltd (146.91%)</w:t>
            </w:r>
          </w:p>
        </w:tc>
        <w:tc>
          <w:tcPr>
            <w:tcW w:w="1928" w:type="dxa"/>
          </w:tcPr>
          <w:p w14:paraId="4082D08C">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Winsol Engineers Ltd (411%)</w:t>
            </w:r>
          </w:p>
        </w:tc>
        <w:tc>
          <w:tcPr>
            <w:tcW w:w="1736" w:type="dxa"/>
          </w:tcPr>
          <w:p w14:paraId="4FC11E71">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Winsol Engineers Ltd (411%)</w:t>
            </w:r>
          </w:p>
        </w:tc>
        <w:tc>
          <w:tcPr>
            <w:tcW w:w="2528" w:type="dxa"/>
          </w:tcPr>
          <w:p w14:paraId="45D36237">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Avax Apparels and Ornaments Ltd (99%)</w:t>
            </w:r>
          </w:p>
        </w:tc>
      </w:tr>
      <w:tr w14:paraId="445C17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91" w:type="dxa"/>
          </w:tcPr>
          <w:p w14:paraId="74740443">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Top IPO by Long term Gain %</w:t>
            </w:r>
          </w:p>
        </w:tc>
        <w:tc>
          <w:tcPr>
            <w:tcW w:w="1492" w:type="dxa"/>
          </w:tcPr>
          <w:p w14:paraId="6524677D">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Bharti Hexacom Ltd (192.17%)</w:t>
            </w:r>
          </w:p>
        </w:tc>
        <w:tc>
          <w:tcPr>
            <w:tcW w:w="1928" w:type="dxa"/>
          </w:tcPr>
          <w:p w14:paraId="5D0C33ED">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Sodhani Academy of Fintech enablers (583%)</w:t>
            </w:r>
          </w:p>
        </w:tc>
        <w:tc>
          <w:tcPr>
            <w:tcW w:w="1736" w:type="dxa"/>
          </w:tcPr>
          <w:p w14:paraId="77F5CD61">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GSM Folio Ltd (366%)</w:t>
            </w:r>
          </w:p>
        </w:tc>
        <w:tc>
          <w:tcPr>
            <w:tcW w:w="2528" w:type="dxa"/>
          </w:tcPr>
          <w:p w14:paraId="4F4DCAFA">
            <w:pPr>
              <w:widowControl/>
              <w:spacing w:before="100" w:beforeAutospacing="1" w:after="100" w:afterAutospacing="1"/>
              <w:rPr>
                <w:rFonts w:hint="default" w:ascii="Calibri" w:hAnsi="Calibri" w:eastAsia="Times New Roman" w:cs="Calibri"/>
                <w:sz w:val="24"/>
                <w:szCs w:val="24"/>
                <w:vertAlign w:val="baseline"/>
                <w:lang w:val="en-IN"/>
              </w:rPr>
            </w:pPr>
            <w:r>
              <w:rPr>
                <w:rFonts w:hint="default" w:ascii="Calibri" w:hAnsi="Calibri" w:eastAsia="Times New Roman" w:cs="Calibri"/>
                <w:sz w:val="24"/>
                <w:szCs w:val="24"/>
                <w:vertAlign w:val="baseline"/>
                <w:lang w:val="en-IN"/>
              </w:rPr>
              <w:t>Sodhani Academy of Fintech enablers (583%)</w:t>
            </w:r>
          </w:p>
        </w:tc>
      </w:tr>
    </w:tbl>
    <w:p w14:paraId="3ACFBE87">
      <w:pPr>
        <w:widowControl/>
        <w:spacing w:before="100" w:beforeAutospacing="1" w:after="100" w:afterAutospacing="1"/>
        <w:rPr>
          <w:rFonts w:hint="default" w:ascii="Calibri" w:hAnsi="Calibri" w:eastAsia="Times New Roman" w:cs="Calibri"/>
          <w:sz w:val="24"/>
          <w:szCs w:val="24"/>
          <w:lang w:val="en-IN"/>
        </w:rPr>
      </w:pPr>
      <w:bookmarkStart w:id="0" w:name="_GoBack"/>
      <w:bookmarkEnd w:id="0"/>
      <w:r>
        <w:rPr>
          <w:rFonts w:hint="default" w:ascii="Calibri" w:hAnsi="Calibri" w:eastAsia="Times New Roman" w:cs="Calibri"/>
          <w:sz w:val="24"/>
          <w:szCs w:val="24"/>
          <w:lang w:val="en-IN"/>
        </w:rPr>
        <w:t>The top right chart shows the frequency distribution of IPO subscription rates with subscription rate (*Issue price) on X-axis and number of IPOs subscribed in the range on Y-axis. For example, if subscription rate is 20 (*Issue price), it means that the IPO is subscribed at price 20 times the issue price by the investors. The QIB investors subscription ranged between 0-300 while that of NII and Retail Investors ranged between 0-1300 and 0-1000 respectively (after outliers are excluded). The overall subscription rate ranged between 0-…</w:t>
      </w:r>
    </w:p>
    <w:p w14:paraId="56089DFC">
      <w:pPr>
        <w:widowControl/>
        <w:spacing w:before="100" w:beforeAutospacing="1" w:after="100" w:afterAutospacing="1"/>
        <w:rPr>
          <w:rFonts w:hint="default" w:ascii="Calibri" w:hAnsi="Calibri" w:eastAsia="Times New Roman" w:cs="Calibri"/>
          <w:sz w:val="24"/>
          <w:szCs w:val="24"/>
          <w:lang w:val="en-IN"/>
        </w:rPr>
      </w:pPr>
      <w:r>
        <w:rPr>
          <w:rFonts w:hint="default" w:ascii="Calibri" w:hAnsi="Calibri" w:eastAsia="Times New Roman" w:cs="Calibri"/>
          <w:sz w:val="24"/>
          <w:szCs w:val="24"/>
          <w:lang w:val="en-IN"/>
        </w:rPr>
        <w:t xml:space="preserve">The bottom right chart is the scatter plot between List Gain % and Long term Gain %. </w:t>
      </w:r>
    </w:p>
    <w:p w14:paraId="33A3BF27">
      <w:pPr>
        <w:widowControl/>
        <w:spacing w:before="100" w:beforeAutospacing="1" w:after="100" w:afterAutospacing="1"/>
        <w:rPr>
          <w:rFonts w:hint="default" w:ascii="Calibri" w:hAnsi="Calibri" w:eastAsia="Times New Roman" w:cs="Calibri"/>
          <w:sz w:val="24"/>
          <w:szCs w:val="24"/>
          <w:lang w:val="en-IN"/>
        </w:rPr>
      </w:pPr>
      <w:r>
        <w:rPr>
          <w:rFonts w:hint="default" w:ascii="Calibri" w:hAnsi="Calibri" w:eastAsia="Times New Roman" w:cs="Calibri"/>
          <w:sz w:val="24"/>
          <w:szCs w:val="24"/>
          <w:lang w:val="en-IN"/>
        </w:rPr>
        <w:t>List gain is the gain investors acquired on closing price of listing day. It is the difference between list day close price and issue price.</w:t>
      </w:r>
    </w:p>
    <w:p w14:paraId="07571CF0">
      <w:pPr>
        <w:widowControl/>
        <w:spacing w:before="100" w:beforeAutospacing="1" w:after="100" w:afterAutospacing="1"/>
        <w:rPr>
          <w:rFonts w:hint="default" w:ascii="Calibri" w:hAnsi="Calibri" w:eastAsia="Times New Roman" w:cs="Calibri"/>
          <w:sz w:val="24"/>
          <w:szCs w:val="24"/>
          <w:lang w:val="en-IN"/>
        </w:rPr>
      </w:pPr>
      <w:r>
        <w:rPr>
          <w:rFonts w:hint="default" w:ascii="Calibri" w:hAnsi="Calibri" w:eastAsia="Times New Roman" w:cs="Calibri"/>
          <w:sz w:val="24"/>
          <w:szCs w:val="24"/>
          <w:lang w:val="en-IN"/>
        </w:rPr>
        <w:t>Long term gain % is the gain investors acquried on closing price of the year end. It is the difference between year end close price and issue price.</w:t>
      </w:r>
    </w:p>
    <w:p w14:paraId="21090BEA">
      <w:pPr>
        <w:widowControl/>
        <w:spacing w:before="100" w:beforeAutospacing="1" w:after="100" w:afterAutospacing="1"/>
        <w:rPr>
          <w:rFonts w:hint="default" w:ascii="Calibri" w:hAnsi="Calibri" w:eastAsia="Google Sans Text" w:cs="Calibri"/>
          <w:color w:val="1B1C1D"/>
          <w:sz w:val="24"/>
          <w:szCs w:val="24"/>
          <w:lang w:val="en-IN"/>
        </w:rPr>
      </w:pPr>
      <w:r>
        <w:rPr>
          <w:rFonts w:hint="default" w:ascii="Calibri" w:hAnsi="Calibri" w:eastAsia="Times New Roman" w:cs="Calibri"/>
          <w:sz w:val="24"/>
          <w:szCs w:val="24"/>
          <w:lang w:val="en-IN"/>
        </w:rPr>
        <w:t>The scatter plot revealed the positive correlation between list day gain % and long term gain % indicating that the IPOs that gained on Listing day may gain in the long run. However, the scatter plot of Mainboard IPOs show loose correlation while that of SME IPOs shows strong correlation. Even in SME scatter plot, NSE plot revealed very strong correlation and BSE plot revealed very loose correlation.</w:t>
      </w:r>
    </w:p>
    <w:p w14:paraId="63F9B905">
      <w:pPr>
        <w:numPr>
          <w:ilvl w:val="0"/>
          <w:numId w:val="2"/>
        </w:numPr>
        <w:spacing w:before="120" w:after="240" w:line="275" w:lineRule="auto"/>
        <w:rPr>
          <w:rFonts w:hint="default" w:ascii="Calibri" w:hAnsi="Calibri" w:eastAsia="Google Sans Text" w:cs="Calibri"/>
          <w:b/>
          <w:bCs/>
          <w:color w:val="1B1C1D"/>
          <w:sz w:val="24"/>
          <w:szCs w:val="24"/>
        </w:rPr>
      </w:pPr>
      <w:r>
        <w:rPr>
          <w:rFonts w:hint="default" w:ascii="Calibri" w:hAnsi="Calibri" w:eastAsia="Google Sans Text" w:cs="Calibri"/>
          <w:b/>
          <w:bCs/>
          <w:color w:val="1B1C1D"/>
          <w:sz w:val="24"/>
          <w:szCs w:val="24"/>
          <w:u w:val="single"/>
        </w:rPr>
        <w:t>Conclusion</w:t>
      </w:r>
      <w:r>
        <w:rPr>
          <w:rFonts w:hint="default" w:ascii="Calibri" w:hAnsi="Calibri" w:eastAsia="Google Sans Text" w:cs="Calibri"/>
          <w:b/>
          <w:bCs/>
          <w:color w:val="1B1C1D"/>
          <w:sz w:val="24"/>
          <w:szCs w:val="24"/>
        </w:rPr>
        <w:br w:type="textWrapping"/>
      </w:r>
      <w:r>
        <w:rPr>
          <w:rFonts w:hint="default" w:ascii="Calibri" w:hAnsi="Calibri" w:eastAsia="Google Sans Text" w:cs="Calibri"/>
          <w:b/>
          <w:bCs/>
          <w:color w:val="1B1C1D"/>
          <w:sz w:val="24"/>
          <w:szCs w:val="24"/>
        </w:rPr>
        <w:br w:type="textWrapping"/>
      </w:r>
      <w:r>
        <w:rPr>
          <w:rFonts w:hint="default" w:ascii="Calibri" w:hAnsi="Calibri" w:eastAsia="Google Sans Text" w:cs="Calibri"/>
          <w:b w:val="0"/>
          <w:bCs w:val="0"/>
          <w:color w:val="1B1C1D"/>
          <w:sz w:val="24"/>
          <w:szCs w:val="24"/>
          <w:lang w:val="en-IN"/>
        </w:rPr>
        <w:t>The major indices, though ended up in gains by the year end, witnessed a gradual drop in price and suffered losses in the last two quarters. Combined by the downward ADR trend and the yesteryear’s growth percentages, the market performance should be perceived as downfall. However, the market resurgence in the last month of the financial year (reflected not only by index data, but also by ADR, FII investments) remains a consolation, providing us hope and belief that we can expect bright side in FY 2025-26</w:t>
      </w:r>
    </w:p>
    <w:p w14:paraId="582B7565">
      <w:pPr>
        <w:numPr>
          <w:ilvl w:val="0"/>
          <w:numId w:val="0"/>
        </w:numPr>
        <w:spacing w:before="120" w:after="240" w:line="275" w:lineRule="auto"/>
        <w:rPr>
          <w:rFonts w:hint="default" w:ascii="Calibri" w:hAnsi="Calibri" w:eastAsia="Google Sans Text" w:cs="Calibri"/>
          <w:b/>
          <w:bCs/>
          <w:color w:val="1B1C1D"/>
          <w:sz w:val="24"/>
          <w:szCs w:val="24"/>
        </w:rPr>
      </w:pPr>
      <w:r>
        <w:rPr>
          <w:rFonts w:hint="default" w:ascii="Calibri" w:hAnsi="Calibri" w:eastAsia="Google Sans Text" w:cs="Calibri"/>
          <w:color w:val="1B1C1D"/>
          <w:sz w:val="24"/>
          <w:szCs w:val="24"/>
        </w:rPr>
        <w:t>In conclusion, FY 2024–25 was a year of s</w:t>
      </w:r>
      <w:r>
        <w:rPr>
          <w:rFonts w:hint="default" w:ascii="Calibri" w:hAnsi="Calibri" w:eastAsia="Google Sans Text" w:cs="Calibri"/>
          <w:color w:val="1B1C1D"/>
          <w:sz w:val="24"/>
          <w:szCs w:val="24"/>
          <w:lang w:val="en-IN"/>
        </w:rPr>
        <w:t>luggish</w:t>
      </w:r>
      <w:r>
        <w:rPr>
          <w:rFonts w:hint="default" w:ascii="Calibri" w:hAnsi="Calibri" w:eastAsia="Google Sans Text" w:cs="Calibri"/>
          <w:color w:val="1B1C1D"/>
          <w:sz w:val="24"/>
          <w:szCs w:val="24"/>
        </w:rPr>
        <w:t xml:space="preserve"> growth for the Indian stock market, marked by moderate gains in benchmark indices (SENSEX and NIFTY 50), robust retail participation, and strong sectoral performance in healthcare, banking, and IT</w:t>
      </w:r>
      <w:r>
        <w:rPr>
          <w:rFonts w:hint="default" w:ascii="Calibri" w:hAnsi="Calibri" w:eastAsia="Google Sans Text" w:cs="Calibri"/>
          <w:color w:val="1B1C1D"/>
          <w:sz w:val="24"/>
          <w:szCs w:val="24"/>
          <w:lang w:val="en-IN"/>
        </w:rPr>
        <w:t xml:space="preserve"> and poor outcome for Realty sector</w:t>
      </w:r>
      <w:r>
        <w:rPr>
          <w:rFonts w:hint="default" w:ascii="Calibri" w:hAnsi="Calibri" w:eastAsia="Google Sans Text" w:cs="Calibri"/>
          <w:color w:val="1B1C1D"/>
          <w:sz w:val="24"/>
          <w:szCs w:val="24"/>
        </w:rPr>
        <w:t>. Despite g</w:t>
      </w:r>
      <w:r>
        <w:rPr>
          <w:rFonts w:hint="default" w:ascii="Calibri" w:hAnsi="Calibri" w:eastAsia="Google Sans Text" w:cs="Calibri"/>
          <w:color w:val="1B1C1D"/>
          <w:sz w:val="24"/>
          <w:szCs w:val="24"/>
          <w:lang w:val="en-IN"/>
        </w:rPr>
        <w:t>eo-political tensions</w:t>
      </w:r>
      <w:r>
        <w:rPr>
          <w:rFonts w:hint="default" w:ascii="Calibri" w:hAnsi="Calibri" w:eastAsia="Google Sans Text" w:cs="Calibri"/>
          <w:color w:val="1B1C1D"/>
          <w:sz w:val="24"/>
          <w:szCs w:val="24"/>
        </w:rPr>
        <w:t xml:space="preserve"> and FII outflows, the market remained resilient due to stable macroeconomic indicators—such as 6.5% GDP growth and controlled inflation</w:t>
      </w:r>
      <w:r>
        <w:rPr>
          <w:rFonts w:hint="default" w:ascii="Calibri" w:hAnsi="Calibri" w:eastAsia="Google Sans Text" w:cs="Calibri"/>
          <w:color w:val="1B1C1D"/>
          <w:sz w:val="24"/>
          <w:szCs w:val="24"/>
          <w:lang w:val="en-IN"/>
        </w:rPr>
        <w:t xml:space="preserve"> </w:t>
      </w:r>
      <w:r>
        <w:rPr>
          <w:rFonts w:hint="default" w:ascii="Calibri" w:hAnsi="Calibri" w:eastAsia="Google Sans Text" w:cs="Calibri"/>
          <w:color w:val="1B1C1D"/>
          <w:sz w:val="24"/>
          <w:szCs w:val="24"/>
        </w:rPr>
        <w:t xml:space="preserve">and consistent support from DIIs. The IPO segment </w:t>
      </w:r>
      <w:r>
        <w:rPr>
          <w:rFonts w:hint="default" w:ascii="Calibri" w:hAnsi="Calibri" w:eastAsia="Google Sans Text" w:cs="Calibri"/>
          <w:color w:val="1B1C1D"/>
          <w:sz w:val="24"/>
          <w:szCs w:val="24"/>
          <w:lang w:val="en-IN"/>
        </w:rPr>
        <w:t>showcased</w:t>
      </w:r>
      <w:r>
        <w:rPr>
          <w:rFonts w:hint="default" w:ascii="Calibri" w:hAnsi="Calibri" w:eastAsia="Google Sans Text" w:cs="Calibri"/>
          <w:color w:val="1B1C1D"/>
          <w:sz w:val="24"/>
          <w:szCs w:val="24"/>
        </w:rPr>
        <w:t xml:space="preserve"> high enthusiasm and substantial returns, further reflecting investor confidence. Overall, the market exhibited a balanced trajectory, underpinned by strong domestic fundamentals and adaptive investor behavior</w:t>
      </w:r>
      <w:r>
        <w:rPr>
          <w:rFonts w:hint="default" w:ascii="Calibri" w:hAnsi="Calibri" w:eastAsia="Google Sans Text" w:cs="Calibri"/>
          <w:b/>
          <w:bCs/>
          <w:color w:val="1B1C1D"/>
          <w:sz w:val="24"/>
          <w:szCs w:val="24"/>
        </w:rPr>
        <w:t>.</w:t>
      </w:r>
    </w:p>
    <w:p w14:paraId="35277A39">
      <w:pPr>
        <w:numPr>
          <w:ilvl w:val="0"/>
          <w:numId w:val="2"/>
        </w:numPr>
        <w:spacing w:before="120" w:after="240" w:line="275" w:lineRule="auto"/>
        <w:rPr>
          <w:rFonts w:hint="default" w:ascii="Calibri" w:hAnsi="Calibri" w:eastAsia="Google Sans Text" w:cs="Calibri"/>
          <w:b/>
          <w:bCs/>
          <w:color w:val="1B1C1D"/>
          <w:sz w:val="24"/>
          <w:szCs w:val="24"/>
          <w:u w:val="single"/>
        </w:rPr>
      </w:pPr>
      <w:r>
        <w:rPr>
          <w:rFonts w:hint="default" w:ascii="Calibri" w:hAnsi="Calibri" w:eastAsia="Google Sans Text" w:cs="Calibri"/>
          <w:b/>
          <w:bCs/>
          <w:color w:val="1B1C1D"/>
          <w:sz w:val="24"/>
          <w:szCs w:val="24"/>
          <w:u w:val="single"/>
          <w:lang w:val="en-IN"/>
        </w:rPr>
        <w:t>Data Sources</w:t>
      </w:r>
    </w:p>
    <w:p w14:paraId="58EC2F9D">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NSE indices data</w:t>
      </w:r>
      <w:r>
        <w:rPr>
          <w:rFonts w:hint="default" w:ascii="Calibri" w:hAnsi="Calibri" w:eastAsia="Google Sans Text" w:cs="Calibri"/>
          <w:b/>
          <w:bCs/>
          <w:color w:val="1B1C1D"/>
          <w:sz w:val="24"/>
          <w:szCs w:val="24"/>
        </w:rPr>
        <w:t xml:space="preserve"> </w:t>
      </w:r>
      <w:r>
        <w:rPr>
          <w:rFonts w:hint="default" w:ascii="Calibri" w:hAnsi="Calibri" w:eastAsia="Google Sans Text" w:cs="Calibri"/>
          <w:b/>
          <w:bCs/>
          <w:color w:val="1B1C1D"/>
          <w:sz w:val="24"/>
          <w:szCs w:val="24"/>
        </w:rPr>
        <w:br w:type="textWrapping"/>
      </w:r>
      <w:r>
        <w:rPr>
          <w:rFonts w:hint="default" w:ascii="Calibri" w:hAnsi="Calibri" w:cs="Calibri"/>
        </w:rPr>
        <w:fldChar w:fldCharType="begin"/>
      </w:r>
      <w:r>
        <w:rPr>
          <w:rFonts w:hint="default" w:ascii="Calibri" w:hAnsi="Calibri" w:cs="Calibri"/>
        </w:rPr>
        <w:instrText xml:space="preserve"> HYPERLINK "https://www.niftyindices.com/reports/historical-data" </w:instrText>
      </w:r>
      <w:r>
        <w:rPr>
          <w:rFonts w:hint="default" w:ascii="Calibri" w:hAnsi="Calibri" w:cs="Calibri"/>
        </w:rPr>
        <w:fldChar w:fldCharType="separate"/>
      </w:r>
      <w:r>
        <w:rPr>
          <w:rStyle w:val="12"/>
          <w:rFonts w:hint="default" w:ascii="Calibri" w:hAnsi="Calibri" w:eastAsia="Google Sans Text" w:cs="Calibri"/>
          <w:sz w:val="24"/>
          <w:szCs w:val="24"/>
          <w:u w:val="none"/>
        </w:rPr>
        <w:t>https://www.niftyindices.com/reports/historical-data</w:t>
      </w:r>
      <w:r>
        <w:rPr>
          <w:rStyle w:val="12"/>
          <w:rFonts w:hint="default" w:ascii="Calibri" w:hAnsi="Calibri" w:eastAsia="Google Sans Text" w:cs="Calibri"/>
          <w:sz w:val="24"/>
          <w:szCs w:val="24"/>
          <w:u w:val="none"/>
        </w:rPr>
        <w:fldChar w:fldCharType="end"/>
      </w:r>
    </w:p>
    <w:p w14:paraId="0E4F44CA">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BSE indices data</w:t>
      </w:r>
      <w:r>
        <w:rPr>
          <w:rFonts w:hint="default" w:ascii="Calibri" w:hAnsi="Calibri" w:eastAsia="Google Sans Text" w:cs="Calibri"/>
          <w:color w:val="1B1C1D"/>
          <w:sz w:val="24"/>
          <w:szCs w:val="24"/>
        </w:rPr>
        <w:br w:type="textWrapping"/>
      </w:r>
      <w:r>
        <w:rPr>
          <w:rFonts w:hint="default" w:ascii="Calibri" w:hAnsi="Calibri" w:cs="Calibri"/>
        </w:rPr>
        <w:fldChar w:fldCharType="begin"/>
      </w:r>
      <w:r>
        <w:rPr>
          <w:rFonts w:hint="default" w:ascii="Calibri" w:hAnsi="Calibri" w:cs="Calibri"/>
        </w:rPr>
        <w:instrText xml:space="preserve">HYPERLINK "https://www.bseindia.com/indices/IndexArchiveData.html"</w:instrText>
      </w:r>
      <w:r>
        <w:rPr>
          <w:rFonts w:hint="default" w:ascii="Calibri" w:hAnsi="Calibri" w:cs="Calibri"/>
        </w:rPr>
        <w:fldChar w:fldCharType="separate"/>
      </w:r>
      <w:r>
        <w:rPr>
          <w:rStyle w:val="12"/>
          <w:rFonts w:hint="default" w:ascii="Calibri" w:hAnsi="Calibri" w:eastAsia="Google Sans Text" w:cs="Calibri"/>
          <w:sz w:val="24"/>
          <w:szCs w:val="24"/>
        </w:rPr>
        <w:t>https://www.bseindia.com/indices/IndexArchiveData.html</w:t>
      </w:r>
      <w:r>
        <w:rPr>
          <w:rFonts w:hint="default" w:ascii="Calibri" w:hAnsi="Calibri" w:cs="Calibri"/>
        </w:rPr>
        <w:fldChar w:fldCharType="end"/>
      </w:r>
    </w:p>
    <w:p w14:paraId="74CB2050">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BSE valuation indicators data</w:t>
      </w:r>
      <w:r>
        <w:rPr>
          <w:rFonts w:hint="default" w:ascii="Calibri" w:hAnsi="Calibri" w:eastAsia="Google Sans Text" w:cs="Calibri"/>
          <w:color w:val="1B1C1D"/>
          <w:sz w:val="24"/>
          <w:szCs w:val="24"/>
        </w:rPr>
        <w:br w:type="textWrapping"/>
      </w:r>
      <w:r>
        <w:rPr>
          <w:rFonts w:hint="default" w:ascii="Calibri" w:hAnsi="Calibri" w:cs="Calibri"/>
        </w:rPr>
        <w:fldChar w:fldCharType="begin"/>
      </w:r>
      <w:r>
        <w:rPr>
          <w:rFonts w:hint="default" w:ascii="Calibri" w:hAnsi="Calibri" w:cs="Calibri"/>
        </w:rPr>
        <w:instrText xml:space="preserve"> HYPERLINK "https://www.bseindia.com/markets/keystatics/Keystat_index.aspx" </w:instrText>
      </w:r>
      <w:r>
        <w:rPr>
          <w:rFonts w:hint="default" w:ascii="Calibri" w:hAnsi="Calibri" w:cs="Calibri"/>
        </w:rPr>
        <w:fldChar w:fldCharType="separate"/>
      </w:r>
      <w:r>
        <w:rPr>
          <w:rStyle w:val="12"/>
          <w:rFonts w:hint="default" w:ascii="Calibri" w:hAnsi="Calibri" w:eastAsia="Google Sans Text" w:cs="Calibri"/>
          <w:sz w:val="24"/>
          <w:szCs w:val="24"/>
          <w:u w:val="none"/>
        </w:rPr>
        <w:t>https://www.bseindia.com/markets/keystatics/Keystat_index.aspx</w:t>
      </w:r>
      <w:r>
        <w:rPr>
          <w:rStyle w:val="12"/>
          <w:rFonts w:hint="default" w:ascii="Calibri" w:hAnsi="Calibri" w:eastAsia="Google Sans Text" w:cs="Calibri"/>
          <w:sz w:val="24"/>
          <w:szCs w:val="24"/>
          <w:u w:val="none"/>
        </w:rPr>
        <w:fldChar w:fldCharType="end"/>
      </w:r>
    </w:p>
    <w:p w14:paraId="364D5AB7">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NSE valuation indicators</w:t>
      </w:r>
      <w:r>
        <w:rPr>
          <w:rFonts w:hint="default" w:ascii="Calibri" w:hAnsi="Calibri" w:eastAsia="Google Sans Text" w:cs="Calibri"/>
          <w:color w:val="1B1C1D"/>
          <w:sz w:val="24"/>
          <w:szCs w:val="24"/>
        </w:rPr>
        <w:br w:type="textWrapping"/>
      </w:r>
      <w:r>
        <w:rPr>
          <w:rFonts w:hint="default" w:ascii="Calibri" w:hAnsi="Calibri" w:cs="Calibri"/>
        </w:rPr>
        <w:fldChar w:fldCharType="begin"/>
      </w:r>
      <w:r>
        <w:rPr>
          <w:rFonts w:hint="default" w:ascii="Calibri" w:hAnsi="Calibri" w:cs="Calibri"/>
        </w:rPr>
        <w:instrText xml:space="preserve"> HYPERLINK </w:instrText>
      </w:r>
      <w:r>
        <w:rPr>
          <w:rFonts w:hint="default" w:ascii="Calibri" w:hAnsi="Calibri" w:cs="Calibri"/>
        </w:rPr>
        <w:fldChar w:fldCharType="separate"/>
      </w:r>
      <w:r>
        <w:rPr>
          <w:rStyle w:val="12"/>
          <w:rFonts w:hint="default" w:ascii="Calibri" w:hAnsi="Calibri" w:eastAsia="Google Sans Text" w:cs="Calibri"/>
          <w:sz w:val="24"/>
          <w:szCs w:val="24"/>
          <w:u w:val="none"/>
        </w:rPr>
        <w:t>http://: https://www.niftyindices.com/reports/index-dashboard</w:t>
      </w:r>
      <w:r>
        <w:rPr>
          <w:rStyle w:val="12"/>
          <w:rFonts w:hint="default" w:ascii="Calibri" w:hAnsi="Calibri" w:eastAsia="Google Sans Text" w:cs="Calibri"/>
          <w:sz w:val="24"/>
          <w:szCs w:val="24"/>
          <w:u w:val="none"/>
        </w:rPr>
        <w:fldChar w:fldCharType="end"/>
      </w:r>
    </w:p>
    <w:p w14:paraId="7E685776">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NSE vix data-</w:t>
      </w:r>
      <w:r>
        <w:rPr>
          <w:rFonts w:hint="default" w:ascii="Calibri" w:hAnsi="Calibri" w:eastAsia="Google Sans Text" w:cs="Calibri"/>
          <w:color w:val="1B1C1D"/>
          <w:sz w:val="24"/>
          <w:szCs w:val="24"/>
        </w:rPr>
        <w:br w:type="textWrapping"/>
      </w:r>
      <w:r>
        <w:rPr>
          <w:rFonts w:hint="default" w:ascii="Calibri" w:hAnsi="Calibri" w:cs="Calibri"/>
        </w:rPr>
        <w:fldChar w:fldCharType="begin"/>
      </w:r>
      <w:r>
        <w:rPr>
          <w:rFonts w:hint="default" w:ascii="Calibri" w:hAnsi="Calibri" w:cs="Calibri"/>
        </w:rPr>
        <w:instrText xml:space="preserve"> HYPERLINK </w:instrText>
      </w:r>
      <w:r>
        <w:rPr>
          <w:rFonts w:hint="default" w:ascii="Calibri" w:hAnsi="Calibri" w:cs="Calibri"/>
        </w:rPr>
        <w:fldChar w:fldCharType="separate"/>
      </w:r>
      <w:r>
        <w:rPr>
          <w:rStyle w:val="12"/>
          <w:rFonts w:hint="default" w:ascii="Calibri" w:hAnsi="Calibri" w:eastAsia="Google Sans Text" w:cs="Calibri"/>
          <w:sz w:val="24"/>
          <w:szCs w:val="24"/>
          <w:u w:val="none"/>
        </w:rPr>
        <w:t>http://: https://www.nseindia.com/reports-indices-historical-vix</w:t>
      </w:r>
      <w:r>
        <w:rPr>
          <w:rStyle w:val="12"/>
          <w:rFonts w:hint="default" w:ascii="Calibri" w:hAnsi="Calibri" w:eastAsia="Google Sans Text" w:cs="Calibri"/>
          <w:sz w:val="24"/>
          <w:szCs w:val="24"/>
          <w:u w:val="none"/>
        </w:rPr>
        <w:fldChar w:fldCharType="end"/>
      </w:r>
    </w:p>
    <w:p w14:paraId="24A3A30F">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IPO data:</w:t>
      </w:r>
      <w:r>
        <w:rPr>
          <w:rFonts w:hint="default" w:ascii="Calibri" w:hAnsi="Calibri" w:eastAsia="Google Sans Text" w:cs="Calibri"/>
          <w:color w:val="1B1C1D"/>
          <w:sz w:val="24"/>
          <w:szCs w:val="24"/>
        </w:rPr>
        <w:br w:type="textWrapping"/>
      </w:r>
      <w:r>
        <w:rPr>
          <w:rFonts w:hint="default" w:ascii="Calibri" w:hAnsi="Calibri" w:cs="Calibri"/>
        </w:rPr>
        <w:fldChar w:fldCharType="begin"/>
      </w:r>
      <w:r>
        <w:rPr>
          <w:rFonts w:hint="default" w:ascii="Calibri" w:hAnsi="Calibri" w:cs="Calibri"/>
        </w:rPr>
        <w:instrText xml:space="preserve"> HYPERLINK "https://www.capitalmarket.com/markets/IPOs/ipo-historic-table" </w:instrText>
      </w:r>
      <w:r>
        <w:rPr>
          <w:rFonts w:hint="default" w:ascii="Calibri" w:hAnsi="Calibri" w:cs="Calibri"/>
        </w:rPr>
        <w:fldChar w:fldCharType="separate"/>
      </w:r>
      <w:r>
        <w:rPr>
          <w:rStyle w:val="12"/>
          <w:rFonts w:hint="default" w:ascii="Calibri" w:hAnsi="Calibri" w:eastAsia="Google Sans Text" w:cs="Calibri"/>
          <w:sz w:val="24"/>
          <w:szCs w:val="24"/>
          <w:u w:val="none"/>
        </w:rPr>
        <w:t>https://www.capitalmarket.com/markets/IPOs/ipo-historic-table</w:t>
      </w:r>
      <w:r>
        <w:rPr>
          <w:rStyle w:val="12"/>
          <w:rFonts w:hint="default" w:ascii="Calibri" w:hAnsi="Calibri" w:eastAsia="Google Sans Text" w:cs="Calibri"/>
          <w:sz w:val="24"/>
          <w:szCs w:val="24"/>
          <w:u w:val="none"/>
        </w:rPr>
        <w:fldChar w:fldCharType="end"/>
      </w:r>
    </w:p>
    <w:p w14:paraId="1FCB8828">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Market Breadth Data-</w:t>
      </w:r>
      <w:r>
        <w:rPr>
          <w:rFonts w:hint="default" w:ascii="Calibri" w:hAnsi="Calibri" w:eastAsia="Google Sans Text" w:cs="Calibri"/>
          <w:color w:val="1B1C1D"/>
          <w:sz w:val="24"/>
          <w:szCs w:val="24"/>
        </w:rPr>
        <w:br w:type="textWrapping"/>
      </w:r>
      <w:r>
        <w:rPr>
          <w:rFonts w:hint="default" w:ascii="Calibri" w:hAnsi="Calibri" w:cs="Calibri"/>
        </w:rPr>
        <w:fldChar w:fldCharType="begin"/>
      </w:r>
      <w:r>
        <w:rPr>
          <w:rFonts w:hint="default" w:ascii="Calibri" w:hAnsi="Calibri" w:cs="Calibri"/>
        </w:rPr>
        <w:instrText xml:space="preserve"> HYPERLINK "https://www.nseindia.com/historical/advances-declines" </w:instrText>
      </w:r>
      <w:r>
        <w:rPr>
          <w:rFonts w:hint="default" w:ascii="Calibri" w:hAnsi="Calibri" w:cs="Calibri"/>
        </w:rPr>
        <w:fldChar w:fldCharType="separate"/>
      </w:r>
      <w:r>
        <w:rPr>
          <w:rStyle w:val="12"/>
          <w:rFonts w:hint="default" w:ascii="Calibri" w:hAnsi="Calibri" w:eastAsia="Google Sans Text" w:cs="Calibri"/>
          <w:sz w:val="24"/>
          <w:szCs w:val="24"/>
          <w:u w:val="none"/>
        </w:rPr>
        <w:t>https://www.nseindia.com/historical/advances-declines</w:t>
      </w:r>
      <w:r>
        <w:rPr>
          <w:rStyle w:val="12"/>
          <w:rFonts w:hint="default" w:ascii="Calibri" w:hAnsi="Calibri" w:eastAsia="Google Sans Text" w:cs="Calibri"/>
          <w:sz w:val="24"/>
          <w:szCs w:val="24"/>
          <w:u w:val="none"/>
        </w:rPr>
        <w:fldChar w:fldCharType="end"/>
      </w:r>
    </w:p>
    <w:p w14:paraId="3DF03959">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FII DII data</w:t>
      </w:r>
      <w:r>
        <w:rPr>
          <w:rFonts w:hint="default" w:ascii="Calibri" w:hAnsi="Calibri" w:eastAsia="Google Sans Text" w:cs="Calibri"/>
          <w:color w:val="1B1C1D"/>
          <w:sz w:val="24"/>
          <w:szCs w:val="24"/>
        </w:rPr>
        <w:br w:type="textWrapping"/>
      </w:r>
      <w:r>
        <w:rPr>
          <w:rFonts w:hint="default" w:ascii="Calibri" w:hAnsi="Calibri" w:eastAsia="Google Sans Text" w:cs="Calibri"/>
          <w:color w:val="1B1C1D"/>
          <w:sz w:val="24"/>
          <w:szCs w:val="24"/>
        </w:rPr>
        <w:t xml:space="preserve"> </w:t>
      </w:r>
      <w:r>
        <w:rPr>
          <w:rFonts w:hint="default" w:ascii="Calibri" w:hAnsi="Calibri" w:cs="Calibri"/>
        </w:rPr>
        <w:fldChar w:fldCharType="begin"/>
      </w:r>
      <w:r>
        <w:rPr>
          <w:rFonts w:hint="default" w:ascii="Calibri" w:hAnsi="Calibri" w:cs="Calibri"/>
        </w:rPr>
        <w:instrText xml:space="preserve"> HYPERLINK "https://groww.in/fii-dii-data" </w:instrText>
      </w:r>
      <w:r>
        <w:rPr>
          <w:rFonts w:hint="default" w:ascii="Calibri" w:hAnsi="Calibri" w:cs="Calibri"/>
        </w:rPr>
        <w:fldChar w:fldCharType="separate"/>
      </w:r>
      <w:r>
        <w:rPr>
          <w:rStyle w:val="12"/>
          <w:rFonts w:hint="default" w:ascii="Calibri" w:hAnsi="Calibri" w:eastAsia="Google Sans Text" w:cs="Calibri"/>
          <w:sz w:val="24"/>
          <w:szCs w:val="24"/>
          <w:u w:val="none"/>
        </w:rPr>
        <w:t>https://groww.in/fii-dii-data</w:t>
      </w:r>
      <w:r>
        <w:rPr>
          <w:rStyle w:val="12"/>
          <w:rFonts w:hint="default" w:ascii="Calibri" w:hAnsi="Calibri" w:eastAsia="Google Sans Text" w:cs="Calibri"/>
          <w:sz w:val="24"/>
          <w:szCs w:val="24"/>
          <w:u w:val="none"/>
        </w:rPr>
        <w:fldChar w:fldCharType="end"/>
      </w:r>
    </w:p>
    <w:p w14:paraId="2E108800">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eastAsia="Google Sans Text" w:cs="Calibri"/>
          <w:color w:val="1B1C1D"/>
          <w:sz w:val="24"/>
          <w:szCs w:val="24"/>
        </w:rPr>
        <w:t>RBI repo rate data:</w:t>
      </w:r>
      <w:r>
        <w:rPr>
          <w:rFonts w:hint="default" w:ascii="Calibri" w:hAnsi="Calibri" w:eastAsia="Google Sans Text" w:cs="Calibri"/>
          <w:color w:val="1B1C1D"/>
          <w:sz w:val="24"/>
          <w:szCs w:val="24"/>
        </w:rPr>
        <w:br w:type="textWrapping"/>
      </w:r>
      <w:r>
        <w:rPr>
          <w:rFonts w:hint="default" w:ascii="Calibri" w:hAnsi="Calibri" w:cs="Calibri"/>
        </w:rPr>
        <w:fldChar w:fldCharType="begin"/>
      </w:r>
      <w:r>
        <w:rPr>
          <w:rFonts w:hint="default" w:ascii="Calibri" w:hAnsi="Calibri" w:cs="Calibri"/>
        </w:rPr>
        <w:instrText xml:space="preserve"> HYPERLINK "https://cleartax.in/s/repo-rate" </w:instrText>
      </w:r>
      <w:r>
        <w:rPr>
          <w:rFonts w:hint="default" w:ascii="Calibri" w:hAnsi="Calibri" w:cs="Calibri"/>
        </w:rPr>
        <w:fldChar w:fldCharType="separate"/>
      </w:r>
      <w:r>
        <w:rPr>
          <w:rStyle w:val="12"/>
          <w:rFonts w:hint="default" w:ascii="Calibri" w:hAnsi="Calibri" w:eastAsia="Google Sans Text" w:cs="Calibri"/>
          <w:sz w:val="24"/>
          <w:szCs w:val="24"/>
          <w:u w:val="none"/>
        </w:rPr>
        <w:t>https://cleartax.in/s/repo-rate</w:t>
      </w:r>
      <w:r>
        <w:rPr>
          <w:rStyle w:val="12"/>
          <w:rFonts w:hint="default" w:ascii="Calibri" w:hAnsi="Calibri" w:eastAsia="Google Sans Text" w:cs="Calibri"/>
          <w:sz w:val="24"/>
          <w:szCs w:val="24"/>
          <w:u w:val="none"/>
        </w:rPr>
        <w:fldChar w:fldCharType="end"/>
      </w:r>
    </w:p>
    <w:p w14:paraId="3A00B4E9">
      <w:pPr>
        <w:pStyle w:val="20"/>
        <w:numPr>
          <w:ilvl w:val="0"/>
          <w:numId w:val="5"/>
        </w:numPr>
        <w:spacing w:before="120" w:after="240" w:line="360" w:lineRule="auto"/>
        <w:rPr>
          <w:rFonts w:hint="default" w:ascii="Calibri" w:hAnsi="Calibri" w:eastAsia="Google Sans Text" w:cs="Calibri"/>
          <w:color w:val="1B1C1D"/>
          <w:sz w:val="24"/>
          <w:szCs w:val="24"/>
        </w:rPr>
      </w:pPr>
      <w:r>
        <w:rPr>
          <w:rFonts w:hint="default" w:ascii="Calibri" w:hAnsi="Calibri" w:cs="Calibri"/>
          <w:lang w:val="en-IN"/>
        </w:rPr>
        <w:t>Macro-economic indicators data (UNO website)</w:t>
      </w:r>
    </w:p>
    <w:p w14:paraId="6D19551D">
      <w:pPr>
        <w:pStyle w:val="20"/>
        <w:numPr>
          <w:ilvl w:val="0"/>
          <w:numId w:val="0"/>
        </w:numPr>
        <w:spacing w:before="120" w:after="240" w:line="360" w:lineRule="auto"/>
        <w:ind w:left="360" w:leftChars="0"/>
        <w:rPr>
          <w:rFonts w:hint="default" w:ascii="Calibri" w:hAnsi="Calibri" w:cs="Calibri"/>
        </w:rPr>
      </w:pPr>
    </w:p>
    <w:p w14:paraId="20F7C570">
      <w:pPr>
        <w:pStyle w:val="20"/>
        <w:numPr>
          <w:ilvl w:val="0"/>
          <w:numId w:val="0"/>
        </w:numPr>
        <w:spacing w:before="120" w:after="240" w:line="360" w:lineRule="auto"/>
        <w:ind w:left="360" w:leftChars="0"/>
        <w:rPr>
          <w:rFonts w:hint="default" w:ascii="Calibri" w:hAnsi="Calibri" w:cs="Calibri"/>
        </w:rPr>
      </w:pPr>
    </w:p>
    <w:p w14:paraId="77B884F9">
      <w:pPr>
        <w:pStyle w:val="20"/>
        <w:numPr>
          <w:ilvl w:val="0"/>
          <w:numId w:val="0"/>
        </w:numPr>
        <w:spacing w:before="120" w:after="240" w:line="360" w:lineRule="auto"/>
        <w:ind w:left="360" w:leftChars="0"/>
        <w:rPr>
          <w:rFonts w:hint="default" w:ascii="Calibri" w:hAnsi="Calibri" w:cs="Calibri"/>
        </w:rPr>
      </w:pPr>
    </w:p>
    <w:p w14:paraId="2B486553">
      <w:pPr>
        <w:pStyle w:val="20"/>
        <w:numPr>
          <w:ilvl w:val="0"/>
          <w:numId w:val="0"/>
        </w:numPr>
        <w:spacing w:before="120" w:after="240" w:line="360" w:lineRule="auto"/>
        <w:ind w:left="360" w:leftChars="0"/>
        <w:rPr>
          <w:rFonts w:hint="default" w:ascii="Calibri" w:hAnsi="Calibri" w:cs="Calibri"/>
        </w:rPr>
      </w:pPr>
    </w:p>
    <w:p w14:paraId="0F742035">
      <w:pPr>
        <w:pStyle w:val="20"/>
        <w:numPr>
          <w:ilvl w:val="0"/>
          <w:numId w:val="0"/>
        </w:numPr>
        <w:spacing w:before="120" w:after="240" w:line="360" w:lineRule="auto"/>
        <w:ind w:left="360" w:leftChars="0"/>
        <w:rPr>
          <w:rFonts w:hint="default" w:ascii="Calibri" w:hAnsi="Calibri" w:cs="Calibri"/>
        </w:rPr>
      </w:pPr>
    </w:p>
    <w:p w14:paraId="08C724F2">
      <w:pPr>
        <w:pStyle w:val="20"/>
        <w:numPr>
          <w:ilvl w:val="0"/>
          <w:numId w:val="2"/>
        </w:numPr>
        <w:spacing w:before="120" w:after="240" w:line="360" w:lineRule="auto"/>
        <w:ind w:left="142"/>
        <w:rPr>
          <w:rFonts w:hint="default" w:ascii="Calibri" w:hAnsi="Calibri" w:eastAsia="Google Sans Text" w:cs="Calibri"/>
          <w:b/>
          <w:bCs/>
          <w:color w:val="1B1C1D"/>
          <w:sz w:val="28"/>
          <w:szCs w:val="28"/>
          <w:u w:val="single"/>
        </w:rPr>
      </w:pPr>
      <w:r>
        <w:rPr>
          <w:rFonts w:hint="default" w:ascii="Calibri" w:hAnsi="Calibri" w:eastAsia="Google Sans Text" w:cs="Calibri"/>
          <w:b/>
          <w:bCs/>
          <w:color w:val="1B1C1D"/>
          <w:sz w:val="28"/>
          <w:szCs w:val="28"/>
          <w:u w:val="single"/>
        </w:rPr>
        <w:t>Glossary</w:t>
      </w:r>
    </w:p>
    <w:tbl>
      <w:tblPr>
        <w:tblStyle w:val="9"/>
        <w:tblW w:w="0" w:type="auto"/>
        <w:tblCellSpacing w:w="15" w:type="dxa"/>
        <w:tblInd w:w="0" w:type="dxa"/>
        <w:tblLayout w:type="autofit"/>
        <w:tblCellMar>
          <w:top w:w="15" w:type="dxa"/>
          <w:left w:w="15" w:type="dxa"/>
          <w:bottom w:w="15" w:type="dxa"/>
          <w:right w:w="15" w:type="dxa"/>
        </w:tblCellMar>
      </w:tblPr>
      <w:tblGrid>
        <w:gridCol w:w="2486"/>
        <w:gridCol w:w="6964"/>
      </w:tblGrid>
      <w:tr w14:paraId="7F156C09">
        <w:tblPrEx>
          <w:tblCellMar>
            <w:top w:w="15" w:type="dxa"/>
            <w:left w:w="15" w:type="dxa"/>
            <w:bottom w:w="15" w:type="dxa"/>
            <w:right w:w="15" w:type="dxa"/>
          </w:tblCellMar>
        </w:tblPrEx>
        <w:trPr>
          <w:tblHeader/>
          <w:tblCellSpacing w:w="15" w:type="dxa"/>
        </w:trPr>
        <w:tc>
          <w:tcPr>
            <w:tcW w:w="0" w:type="auto"/>
            <w:vAlign w:val="center"/>
          </w:tcPr>
          <w:p w14:paraId="5AE0FC8D">
            <w:pPr>
              <w:widowControl/>
              <w:rPr>
                <w:rFonts w:hint="default" w:ascii="Calibri" w:hAnsi="Calibri" w:eastAsia="Times New Roman" w:cs="Calibri"/>
                <w:b/>
                <w:bCs/>
                <w:sz w:val="24"/>
                <w:szCs w:val="24"/>
              </w:rPr>
            </w:pPr>
            <w:r>
              <w:rPr>
                <w:rFonts w:hint="default" w:ascii="Calibri" w:hAnsi="Calibri" w:eastAsia="Times New Roman" w:cs="Calibri"/>
                <w:b/>
                <w:bCs/>
                <w:sz w:val="24"/>
                <w:szCs w:val="24"/>
              </w:rPr>
              <w:t>Term / Acronym</w:t>
            </w:r>
          </w:p>
        </w:tc>
        <w:tc>
          <w:tcPr>
            <w:tcW w:w="0" w:type="auto"/>
            <w:vAlign w:val="center"/>
          </w:tcPr>
          <w:p w14:paraId="0445A69C">
            <w:pPr>
              <w:widowControl/>
              <w:jc w:val="center"/>
              <w:rPr>
                <w:rFonts w:hint="default" w:ascii="Calibri" w:hAnsi="Calibri" w:eastAsia="Times New Roman" w:cs="Calibri"/>
                <w:b/>
                <w:bCs/>
                <w:sz w:val="24"/>
                <w:szCs w:val="24"/>
              </w:rPr>
            </w:pPr>
            <w:r>
              <w:rPr>
                <w:rFonts w:hint="default" w:ascii="Calibri" w:hAnsi="Calibri" w:eastAsia="Times New Roman" w:cs="Calibri"/>
                <w:b/>
                <w:bCs/>
                <w:sz w:val="24"/>
                <w:szCs w:val="24"/>
              </w:rPr>
              <w:t>Definition</w:t>
            </w:r>
          </w:p>
        </w:tc>
      </w:tr>
      <w:tr w14:paraId="66F1312E">
        <w:tblPrEx>
          <w:tblCellMar>
            <w:top w:w="15" w:type="dxa"/>
            <w:left w:w="15" w:type="dxa"/>
            <w:bottom w:w="15" w:type="dxa"/>
            <w:right w:w="15" w:type="dxa"/>
          </w:tblCellMar>
        </w:tblPrEx>
        <w:trPr>
          <w:tblCellSpacing w:w="15" w:type="dxa"/>
        </w:trPr>
        <w:tc>
          <w:tcPr>
            <w:tcW w:w="0" w:type="auto"/>
            <w:vAlign w:val="center"/>
          </w:tcPr>
          <w:p w14:paraId="73DE8C67">
            <w:pPr>
              <w:widowControl/>
              <w:rPr>
                <w:rFonts w:hint="default" w:ascii="Calibri" w:hAnsi="Calibri" w:eastAsia="Times New Roman" w:cs="Calibri"/>
                <w:sz w:val="24"/>
                <w:szCs w:val="24"/>
              </w:rPr>
            </w:pPr>
            <w:r>
              <w:rPr>
                <w:rFonts w:hint="default" w:ascii="Calibri" w:hAnsi="Calibri" w:eastAsia="Times New Roman" w:cs="Calibri"/>
                <w:b/>
                <w:bCs/>
                <w:sz w:val="24"/>
                <w:szCs w:val="24"/>
              </w:rPr>
              <w:t>Stock Market</w:t>
            </w:r>
          </w:p>
        </w:tc>
        <w:tc>
          <w:tcPr>
            <w:tcW w:w="0" w:type="auto"/>
            <w:vAlign w:val="center"/>
          </w:tcPr>
          <w:p w14:paraId="3BBD4447">
            <w:pPr>
              <w:widowControl/>
              <w:rPr>
                <w:rFonts w:hint="default" w:ascii="Calibri" w:hAnsi="Calibri" w:eastAsia="Times New Roman" w:cs="Calibri"/>
                <w:sz w:val="24"/>
                <w:szCs w:val="24"/>
              </w:rPr>
            </w:pPr>
            <w:r>
              <w:rPr>
                <w:rFonts w:hint="default" w:ascii="Calibri" w:hAnsi="Calibri" w:eastAsia="Times New Roman" w:cs="Calibri"/>
                <w:sz w:val="24"/>
                <w:szCs w:val="24"/>
              </w:rPr>
              <w:t>A platform where shares of publicly listed companies are traded. It reflects investor sentiment and the economic outlook.</w:t>
            </w:r>
          </w:p>
        </w:tc>
      </w:tr>
      <w:tr w14:paraId="3465E28C">
        <w:tblPrEx>
          <w:tblCellMar>
            <w:top w:w="15" w:type="dxa"/>
            <w:left w:w="15" w:type="dxa"/>
            <w:bottom w:w="15" w:type="dxa"/>
            <w:right w:w="15" w:type="dxa"/>
          </w:tblCellMar>
        </w:tblPrEx>
        <w:trPr>
          <w:tblCellSpacing w:w="15" w:type="dxa"/>
        </w:trPr>
        <w:tc>
          <w:tcPr>
            <w:tcW w:w="0" w:type="auto"/>
            <w:vAlign w:val="center"/>
          </w:tcPr>
          <w:p w14:paraId="4DF8A64D">
            <w:pPr>
              <w:widowControl/>
              <w:rPr>
                <w:rFonts w:hint="default" w:ascii="Calibri" w:hAnsi="Calibri" w:eastAsia="Times New Roman" w:cs="Calibri"/>
                <w:sz w:val="24"/>
                <w:szCs w:val="24"/>
              </w:rPr>
            </w:pPr>
            <w:r>
              <w:rPr>
                <w:rFonts w:hint="default" w:ascii="Calibri" w:hAnsi="Calibri" w:eastAsia="Times New Roman" w:cs="Calibri"/>
                <w:b/>
                <w:bCs/>
                <w:sz w:val="24"/>
                <w:szCs w:val="24"/>
              </w:rPr>
              <w:t>NSE (National Stock Exchange)</w:t>
            </w:r>
          </w:p>
        </w:tc>
        <w:tc>
          <w:tcPr>
            <w:tcW w:w="0" w:type="auto"/>
            <w:vAlign w:val="center"/>
          </w:tcPr>
          <w:p w14:paraId="5710A3B9">
            <w:pPr>
              <w:widowControl/>
              <w:rPr>
                <w:rFonts w:hint="default" w:ascii="Calibri" w:hAnsi="Calibri" w:eastAsia="Times New Roman" w:cs="Calibri"/>
                <w:sz w:val="24"/>
                <w:szCs w:val="24"/>
              </w:rPr>
            </w:pPr>
            <w:r>
              <w:rPr>
                <w:rFonts w:hint="default" w:ascii="Calibri" w:hAnsi="Calibri" w:eastAsia="Times New Roman" w:cs="Calibri"/>
                <w:sz w:val="24"/>
                <w:szCs w:val="24"/>
              </w:rPr>
              <w:t>One of India’s leading stock exchanges, where major indices like NIFTY 50 are traded.</w:t>
            </w:r>
          </w:p>
        </w:tc>
      </w:tr>
      <w:tr w14:paraId="30620024">
        <w:tblPrEx>
          <w:tblCellMar>
            <w:top w:w="15" w:type="dxa"/>
            <w:left w:w="15" w:type="dxa"/>
            <w:bottom w:w="15" w:type="dxa"/>
            <w:right w:w="15" w:type="dxa"/>
          </w:tblCellMar>
        </w:tblPrEx>
        <w:trPr>
          <w:tblCellSpacing w:w="15" w:type="dxa"/>
        </w:trPr>
        <w:tc>
          <w:tcPr>
            <w:tcW w:w="0" w:type="auto"/>
            <w:vAlign w:val="center"/>
          </w:tcPr>
          <w:p w14:paraId="43B0F5BE">
            <w:pPr>
              <w:widowControl/>
              <w:rPr>
                <w:rFonts w:hint="default" w:ascii="Calibri" w:hAnsi="Calibri" w:eastAsia="Times New Roman" w:cs="Calibri"/>
                <w:sz w:val="24"/>
                <w:szCs w:val="24"/>
              </w:rPr>
            </w:pPr>
            <w:r>
              <w:rPr>
                <w:rFonts w:hint="default" w:ascii="Calibri" w:hAnsi="Calibri" w:eastAsia="Times New Roman" w:cs="Calibri"/>
                <w:b/>
                <w:bCs/>
                <w:sz w:val="24"/>
                <w:szCs w:val="24"/>
              </w:rPr>
              <w:t>BSE (Bombay Stock Exchange)</w:t>
            </w:r>
          </w:p>
        </w:tc>
        <w:tc>
          <w:tcPr>
            <w:tcW w:w="0" w:type="auto"/>
            <w:vAlign w:val="center"/>
          </w:tcPr>
          <w:p w14:paraId="76D04E8A">
            <w:pPr>
              <w:widowControl/>
              <w:rPr>
                <w:rFonts w:hint="default" w:ascii="Calibri" w:hAnsi="Calibri" w:eastAsia="Times New Roman" w:cs="Calibri"/>
                <w:sz w:val="24"/>
                <w:szCs w:val="24"/>
              </w:rPr>
            </w:pPr>
            <w:r>
              <w:rPr>
                <w:rFonts w:hint="default" w:ascii="Calibri" w:hAnsi="Calibri" w:eastAsia="Times New Roman" w:cs="Calibri"/>
                <w:sz w:val="24"/>
                <w:szCs w:val="24"/>
              </w:rPr>
              <w:t>Asia’s oldest stock exchange, home to the SENSEX index.</w:t>
            </w:r>
          </w:p>
        </w:tc>
      </w:tr>
      <w:tr w14:paraId="2BF15FD1">
        <w:tblPrEx>
          <w:tblCellMar>
            <w:top w:w="15" w:type="dxa"/>
            <w:left w:w="15" w:type="dxa"/>
            <w:bottom w:w="15" w:type="dxa"/>
            <w:right w:w="15" w:type="dxa"/>
          </w:tblCellMar>
        </w:tblPrEx>
        <w:trPr>
          <w:tblCellSpacing w:w="15" w:type="dxa"/>
        </w:trPr>
        <w:tc>
          <w:tcPr>
            <w:tcW w:w="0" w:type="auto"/>
            <w:vAlign w:val="center"/>
          </w:tcPr>
          <w:p w14:paraId="3AAC303B">
            <w:pPr>
              <w:widowControl/>
              <w:rPr>
                <w:rFonts w:hint="default" w:ascii="Calibri" w:hAnsi="Calibri" w:eastAsia="Times New Roman" w:cs="Calibri"/>
                <w:sz w:val="24"/>
                <w:szCs w:val="24"/>
              </w:rPr>
            </w:pPr>
            <w:r>
              <w:rPr>
                <w:rFonts w:hint="default" w:ascii="Calibri" w:hAnsi="Calibri" w:eastAsia="Times New Roman" w:cs="Calibri"/>
                <w:b/>
                <w:bCs/>
                <w:sz w:val="24"/>
                <w:szCs w:val="24"/>
              </w:rPr>
              <w:t>SENSEX</w:t>
            </w:r>
          </w:p>
        </w:tc>
        <w:tc>
          <w:tcPr>
            <w:tcW w:w="0" w:type="auto"/>
            <w:vAlign w:val="center"/>
          </w:tcPr>
          <w:p w14:paraId="7AC32863">
            <w:pPr>
              <w:widowControl/>
              <w:rPr>
                <w:rFonts w:hint="default" w:ascii="Calibri" w:hAnsi="Calibri" w:eastAsia="Times New Roman" w:cs="Calibri"/>
                <w:sz w:val="24"/>
                <w:szCs w:val="24"/>
              </w:rPr>
            </w:pPr>
            <w:r>
              <w:rPr>
                <w:rFonts w:hint="default" w:ascii="Calibri" w:hAnsi="Calibri" w:eastAsia="Times New Roman" w:cs="Calibri"/>
                <w:sz w:val="24"/>
                <w:szCs w:val="24"/>
              </w:rPr>
              <w:t>The benchmark index of the BSE, tracking 30 of the largest, most traded stocks.</w:t>
            </w:r>
          </w:p>
        </w:tc>
      </w:tr>
      <w:tr w14:paraId="1BBBF8CB">
        <w:tblPrEx>
          <w:tblCellMar>
            <w:top w:w="15" w:type="dxa"/>
            <w:left w:w="15" w:type="dxa"/>
            <w:bottom w:w="15" w:type="dxa"/>
            <w:right w:w="15" w:type="dxa"/>
          </w:tblCellMar>
        </w:tblPrEx>
        <w:trPr>
          <w:tblCellSpacing w:w="15" w:type="dxa"/>
        </w:trPr>
        <w:tc>
          <w:tcPr>
            <w:tcW w:w="0" w:type="auto"/>
            <w:vAlign w:val="center"/>
          </w:tcPr>
          <w:p w14:paraId="65F5A685">
            <w:pPr>
              <w:widowControl/>
              <w:rPr>
                <w:rFonts w:hint="default" w:ascii="Calibri" w:hAnsi="Calibri" w:eastAsia="Times New Roman" w:cs="Calibri"/>
                <w:sz w:val="24"/>
                <w:szCs w:val="24"/>
              </w:rPr>
            </w:pPr>
            <w:r>
              <w:rPr>
                <w:rFonts w:hint="default" w:ascii="Calibri" w:hAnsi="Calibri" w:eastAsia="Times New Roman" w:cs="Calibri"/>
                <w:b/>
                <w:bCs/>
                <w:sz w:val="24"/>
                <w:szCs w:val="24"/>
              </w:rPr>
              <w:t>NIFTY 50</w:t>
            </w:r>
          </w:p>
        </w:tc>
        <w:tc>
          <w:tcPr>
            <w:tcW w:w="0" w:type="auto"/>
            <w:vAlign w:val="center"/>
          </w:tcPr>
          <w:p w14:paraId="1C02351A">
            <w:pPr>
              <w:widowControl/>
              <w:rPr>
                <w:rFonts w:hint="default" w:ascii="Calibri" w:hAnsi="Calibri" w:eastAsia="Times New Roman" w:cs="Calibri"/>
                <w:sz w:val="24"/>
                <w:szCs w:val="24"/>
              </w:rPr>
            </w:pPr>
            <w:r>
              <w:rPr>
                <w:rFonts w:hint="default" w:ascii="Calibri" w:hAnsi="Calibri" w:eastAsia="Times New Roman" w:cs="Calibri"/>
                <w:sz w:val="24"/>
                <w:szCs w:val="24"/>
              </w:rPr>
              <w:t>A benchmark index on NSE, comprising 50 large-cap companies across major sectors.</w:t>
            </w:r>
          </w:p>
        </w:tc>
      </w:tr>
      <w:tr w14:paraId="1F6DF0C0">
        <w:tblPrEx>
          <w:tblCellMar>
            <w:top w:w="15" w:type="dxa"/>
            <w:left w:w="15" w:type="dxa"/>
            <w:bottom w:w="15" w:type="dxa"/>
            <w:right w:w="15" w:type="dxa"/>
          </w:tblCellMar>
        </w:tblPrEx>
        <w:trPr>
          <w:tblCellSpacing w:w="15" w:type="dxa"/>
        </w:trPr>
        <w:tc>
          <w:tcPr>
            <w:tcW w:w="0" w:type="auto"/>
            <w:vAlign w:val="center"/>
          </w:tcPr>
          <w:p w14:paraId="15444F20">
            <w:pPr>
              <w:widowControl/>
              <w:rPr>
                <w:rFonts w:hint="default" w:ascii="Calibri" w:hAnsi="Calibri" w:eastAsia="Times New Roman" w:cs="Calibri"/>
                <w:sz w:val="24"/>
                <w:szCs w:val="24"/>
              </w:rPr>
            </w:pPr>
            <w:r>
              <w:rPr>
                <w:rFonts w:hint="default" w:ascii="Calibri" w:hAnsi="Calibri" w:eastAsia="Times New Roman" w:cs="Calibri"/>
                <w:b/>
                <w:bCs/>
                <w:sz w:val="24"/>
                <w:szCs w:val="24"/>
              </w:rPr>
              <w:t>OHLC</w:t>
            </w:r>
          </w:p>
        </w:tc>
        <w:tc>
          <w:tcPr>
            <w:tcW w:w="0" w:type="auto"/>
            <w:vAlign w:val="center"/>
          </w:tcPr>
          <w:p w14:paraId="789C4E1F">
            <w:pPr>
              <w:widowControl/>
              <w:rPr>
                <w:rFonts w:hint="default" w:ascii="Calibri" w:hAnsi="Calibri" w:eastAsia="Times New Roman" w:cs="Calibri"/>
                <w:sz w:val="24"/>
                <w:szCs w:val="24"/>
              </w:rPr>
            </w:pPr>
            <w:r>
              <w:rPr>
                <w:rFonts w:hint="default" w:ascii="Calibri" w:hAnsi="Calibri" w:eastAsia="Times New Roman" w:cs="Calibri"/>
                <w:sz w:val="24"/>
                <w:szCs w:val="24"/>
              </w:rPr>
              <w:t>Open, High, Low, Close – represents stock prices during a trading period.</w:t>
            </w:r>
          </w:p>
        </w:tc>
      </w:tr>
      <w:tr w14:paraId="5F3C4FED">
        <w:tblPrEx>
          <w:tblCellMar>
            <w:top w:w="15" w:type="dxa"/>
            <w:left w:w="15" w:type="dxa"/>
            <w:bottom w:w="15" w:type="dxa"/>
            <w:right w:w="15" w:type="dxa"/>
          </w:tblCellMar>
        </w:tblPrEx>
        <w:trPr>
          <w:tblCellSpacing w:w="15" w:type="dxa"/>
        </w:trPr>
        <w:tc>
          <w:tcPr>
            <w:tcW w:w="0" w:type="auto"/>
            <w:vAlign w:val="center"/>
          </w:tcPr>
          <w:p w14:paraId="57B9C865">
            <w:pPr>
              <w:widowControl/>
              <w:rPr>
                <w:rFonts w:hint="default" w:ascii="Calibri" w:hAnsi="Calibri" w:eastAsia="Times New Roman" w:cs="Calibri"/>
                <w:sz w:val="24"/>
                <w:szCs w:val="24"/>
              </w:rPr>
            </w:pPr>
            <w:r>
              <w:rPr>
                <w:rFonts w:hint="default" w:ascii="Calibri" w:hAnsi="Calibri" w:eastAsia="Times New Roman" w:cs="Calibri"/>
                <w:b/>
                <w:bCs/>
                <w:sz w:val="24"/>
                <w:szCs w:val="24"/>
              </w:rPr>
              <w:t>P/E Ratio</w:t>
            </w:r>
          </w:p>
        </w:tc>
        <w:tc>
          <w:tcPr>
            <w:tcW w:w="0" w:type="auto"/>
            <w:vAlign w:val="center"/>
          </w:tcPr>
          <w:p w14:paraId="0D49B1F2">
            <w:pPr>
              <w:widowControl/>
              <w:rPr>
                <w:rFonts w:hint="default" w:ascii="Calibri" w:hAnsi="Calibri" w:eastAsia="Times New Roman" w:cs="Calibri"/>
                <w:sz w:val="24"/>
                <w:szCs w:val="24"/>
              </w:rPr>
            </w:pPr>
            <w:r>
              <w:rPr>
                <w:rFonts w:hint="default" w:ascii="Calibri" w:hAnsi="Calibri" w:eastAsia="Times New Roman" w:cs="Calibri"/>
                <w:sz w:val="24"/>
                <w:szCs w:val="24"/>
              </w:rPr>
              <w:t>Price-to-Earnings Ratio – measures a stock’s valuation by comparing its price to earnings per share.</w:t>
            </w:r>
          </w:p>
        </w:tc>
      </w:tr>
      <w:tr w14:paraId="521CF0C7">
        <w:tblPrEx>
          <w:tblCellMar>
            <w:top w:w="15" w:type="dxa"/>
            <w:left w:w="15" w:type="dxa"/>
            <w:bottom w:w="15" w:type="dxa"/>
            <w:right w:w="15" w:type="dxa"/>
          </w:tblCellMar>
        </w:tblPrEx>
        <w:trPr>
          <w:tblCellSpacing w:w="15" w:type="dxa"/>
        </w:trPr>
        <w:tc>
          <w:tcPr>
            <w:tcW w:w="0" w:type="auto"/>
            <w:vAlign w:val="center"/>
          </w:tcPr>
          <w:p w14:paraId="27D32E16">
            <w:pPr>
              <w:widowControl/>
              <w:rPr>
                <w:rFonts w:hint="default" w:ascii="Calibri" w:hAnsi="Calibri" w:eastAsia="Times New Roman" w:cs="Calibri"/>
                <w:sz w:val="24"/>
                <w:szCs w:val="24"/>
              </w:rPr>
            </w:pPr>
            <w:r>
              <w:rPr>
                <w:rFonts w:hint="default" w:ascii="Calibri" w:hAnsi="Calibri" w:eastAsia="Times New Roman" w:cs="Calibri"/>
                <w:b/>
                <w:bCs/>
                <w:sz w:val="24"/>
                <w:szCs w:val="24"/>
              </w:rPr>
              <w:t>P/B Ratio</w:t>
            </w:r>
          </w:p>
        </w:tc>
        <w:tc>
          <w:tcPr>
            <w:tcW w:w="0" w:type="auto"/>
            <w:vAlign w:val="center"/>
          </w:tcPr>
          <w:p w14:paraId="6B9BC68D">
            <w:pPr>
              <w:widowControl/>
              <w:rPr>
                <w:rFonts w:hint="default" w:ascii="Calibri" w:hAnsi="Calibri" w:eastAsia="Times New Roman" w:cs="Calibri"/>
                <w:sz w:val="24"/>
                <w:szCs w:val="24"/>
              </w:rPr>
            </w:pPr>
            <w:r>
              <w:rPr>
                <w:rFonts w:hint="default" w:ascii="Calibri" w:hAnsi="Calibri" w:eastAsia="Times New Roman" w:cs="Calibri"/>
                <w:sz w:val="24"/>
                <w:szCs w:val="24"/>
              </w:rPr>
              <w:t>Price-to-Book Ratio – compares a stock’s market value to its book value.</w:t>
            </w:r>
          </w:p>
        </w:tc>
      </w:tr>
      <w:tr w14:paraId="32B68DCC">
        <w:tblPrEx>
          <w:tblCellMar>
            <w:top w:w="15" w:type="dxa"/>
            <w:left w:w="15" w:type="dxa"/>
            <w:bottom w:w="15" w:type="dxa"/>
            <w:right w:w="15" w:type="dxa"/>
          </w:tblCellMar>
        </w:tblPrEx>
        <w:trPr>
          <w:tblCellSpacing w:w="15" w:type="dxa"/>
        </w:trPr>
        <w:tc>
          <w:tcPr>
            <w:tcW w:w="0" w:type="auto"/>
            <w:vAlign w:val="center"/>
          </w:tcPr>
          <w:p w14:paraId="3B4DEF2A">
            <w:pPr>
              <w:widowControl/>
              <w:rPr>
                <w:rFonts w:hint="default" w:ascii="Calibri" w:hAnsi="Calibri" w:eastAsia="Times New Roman" w:cs="Calibri"/>
                <w:sz w:val="24"/>
                <w:szCs w:val="24"/>
              </w:rPr>
            </w:pPr>
            <w:r>
              <w:rPr>
                <w:rFonts w:hint="default" w:ascii="Calibri" w:hAnsi="Calibri" w:eastAsia="Times New Roman" w:cs="Calibri"/>
                <w:b/>
                <w:bCs/>
                <w:sz w:val="24"/>
                <w:szCs w:val="24"/>
              </w:rPr>
              <w:t>Dividend Yield</w:t>
            </w:r>
          </w:p>
        </w:tc>
        <w:tc>
          <w:tcPr>
            <w:tcW w:w="0" w:type="auto"/>
            <w:vAlign w:val="center"/>
          </w:tcPr>
          <w:p w14:paraId="37DCF52D">
            <w:pPr>
              <w:widowControl/>
              <w:rPr>
                <w:rFonts w:hint="default" w:ascii="Calibri" w:hAnsi="Calibri" w:eastAsia="Times New Roman" w:cs="Calibri"/>
                <w:sz w:val="24"/>
                <w:szCs w:val="24"/>
              </w:rPr>
            </w:pPr>
            <w:r>
              <w:rPr>
                <w:rFonts w:hint="default" w:ascii="Calibri" w:hAnsi="Calibri" w:eastAsia="Times New Roman" w:cs="Calibri"/>
                <w:sz w:val="24"/>
                <w:szCs w:val="24"/>
              </w:rPr>
              <w:t>A percentage showing annual dividend relative to share price.</w:t>
            </w:r>
          </w:p>
        </w:tc>
      </w:tr>
      <w:tr w14:paraId="08AC1AB9">
        <w:tblPrEx>
          <w:tblCellMar>
            <w:top w:w="15" w:type="dxa"/>
            <w:left w:w="15" w:type="dxa"/>
            <w:bottom w:w="15" w:type="dxa"/>
            <w:right w:w="15" w:type="dxa"/>
          </w:tblCellMar>
        </w:tblPrEx>
        <w:trPr>
          <w:tblCellSpacing w:w="15" w:type="dxa"/>
        </w:trPr>
        <w:tc>
          <w:tcPr>
            <w:tcW w:w="0" w:type="auto"/>
            <w:vAlign w:val="center"/>
          </w:tcPr>
          <w:p w14:paraId="206AABC5">
            <w:pPr>
              <w:widowControl/>
              <w:rPr>
                <w:rFonts w:hint="default" w:ascii="Calibri" w:hAnsi="Calibri" w:eastAsia="Times New Roman" w:cs="Calibri"/>
                <w:sz w:val="24"/>
                <w:szCs w:val="24"/>
              </w:rPr>
            </w:pPr>
            <w:r>
              <w:rPr>
                <w:rFonts w:hint="default" w:ascii="Calibri" w:hAnsi="Calibri" w:eastAsia="Times New Roman" w:cs="Calibri"/>
                <w:b/>
                <w:bCs/>
                <w:sz w:val="24"/>
                <w:szCs w:val="24"/>
              </w:rPr>
              <w:t>Market Capitalization</w:t>
            </w:r>
          </w:p>
        </w:tc>
        <w:tc>
          <w:tcPr>
            <w:tcW w:w="0" w:type="auto"/>
            <w:vAlign w:val="center"/>
          </w:tcPr>
          <w:p w14:paraId="374C642E">
            <w:pPr>
              <w:widowControl/>
              <w:rPr>
                <w:rFonts w:hint="default" w:ascii="Calibri" w:hAnsi="Calibri" w:eastAsia="Times New Roman" w:cs="Calibri"/>
                <w:sz w:val="24"/>
                <w:szCs w:val="24"/>
              </w:rPr>
            </w:pPr>
            <w:r>
              <w:rPr>
                <w:rFonts w:hint="default" w:ascii="Calibri" w:hAnsi="Calibri" w:eastAsia="Times New Roman" w:cs="Calibri"/>
                <w:sz w:val="24"/>
                <w:szCs w:val="24"/>
              </w:rPr>
              <w:t>Total value of a company’s shares (Share Price × Number of Shares Outstanding).</w:t>
            </w:r>
          </w:p>
        </w:tc>
      </w:tr>
      <w:tr w14:paraId="3DBCE675">
        <w:tblPrEx>
          <w:tblCellMar>
            <w:top w:w="15" w:type="dxa"/>
            <w:left w:w="15" w:type="dxa"/>
            <w:bottom w:w="15" w:type="dxa"/>
            <w:right w:w="15" w:type="dxa"/>
          </w:tblCellMar>
        </w:tblPrEx>
        <w:trPr>
          <w:tblCellSpacing w:w="15" w:type="dxa"/>
        </w:trPr>
        <w:tc>
          <w:tcPr>
            <w:tcW w:w="0" w:type="auto"/>
            <w:vAlign w:val="center"/>
          </w:tcPr>
          <w:p w14:paraId="4D89CECC">
            <w:pPr>
              <w:widowControl/>
              <w:rPr>
                <w:rFonts w:hint="default" w:ascii="Calibri" w:hAnsi="Calibri" w:eastAsia="Times New Roman" w:cs="Calibri"/>
                <w:sz w:val="24"/>
                <w:szCs w:val="24"/>
              </w:rPr>
            </w:pPr>
            <w:r>
              <w:rPr>
                <w:rFonts w:hint="default" w:ascii="Calibri" w:hAnsi="Calibri" w:eastAsia="Times New Roman" w:cs="Calibri"/>
                <w:b/>
                <w:bCs/>
                <w:sz w:val="24"/>
                <w:szCs w:val="24"/>
              </w:rPr>
              <w:t>Volatility</w:t>
            </w:r>
          </w:p>
        </w:tc>
        <w:tc>
          <w:tcPr>
            <w:tcW w:w="0" w:type="auto"/>
            <w:vAlign w:val="center"/>
          </w:tcPr>
          <w:p w14:paraId="3ACF4CAA">
            <w:pPr>
              <w:widowControl/>
              <w:rPr>
                <w:rFonts w:hint="default" w:ascii="Calibri" w:hAnsi="Calibri" w:eastAsia="Times New Roman" w:cs="Calibri"/>
                <w:sz w:val="24"/>
                <w:szCs w:val="24"/>
              </w:rPr>
            </w:pPr>
            <w:r>
              <w:rPr>
                <w:rFonts w:hint="default" w:ascii="Calibri" w:hAnsi="Calibri" w:eastAsia="Times New Roman" w:cs="Calibri"/>
                <w:sz w:val="24"/>
                <w:szCs w:val="24"/>
              </w:rPr>
              <w:t>Degree of price variation in the stock market. High volatility indicates higher risk.</w:t>
            </w:r>
          </w:p>
        </w:tc>
      </w:tr>
      <w:tr w14:paraId="3ACA38DA">
        <w:tblPrEx>
          <w:tblCellMar>
            <w:top w:w="15" w:type="dxa"/>
            <w:left w:w="15" w:type="dxa"/>
            <w:bottom w:w="15" w:type="dxa"/>
            <w:right w:w="15" w:type="dxa"/>
          </w:tblCellMar>
        </w:tblPrEx>
        <w:trPr>
          <w:tblCellSpacing w:w="15" w:type="dxa"/>
        </w:trPr>
        <w:tc>
          <w:tcPr>
            <w:tcW w:w="0" w:type="auto"/>
            <w:vAlign w:val="center"/>
          </w:tcPr>
          <w:p w14:paraId="12E1E209">
            <w:pPr>
              <w:widowControl/>
              <w:rPr>
                <w:rFonts w:hint="default" w:ascii="Calibri" w:hAnsi="Calibri" w:eastAsia="Times New Roman" w:cs="Calibri"/>
                <w:sz w:val="24"/>
                <w:szCs w:val="24"/>
              </w:rPr>
            </w:pPr>
            <w:r>
              <w:rPr>
                <w:rFonts w:hint="default" w:ascii="Calibri" w:hAnsi="Calibri" w:eastAsia="Times New Roman" w:cs="Calibri"/>
                <w:b/>
                <w:bCs/>
                <w:sz w:val="24"/>
                <w:szCs w:val="24"/>
              </w:rPr>
              <w:t>GDP (Gross Domestic Product)</w:t>
            </w:r>
          </w:p>
        </w:tc>
        <w:tc>
          <w:tcPr>
            <w:tcW w:w="0" w:type="auto"/>
            <w:vAlign w:val="center"/>
          </w:tcPr>
          <w:p w14:paraId="7EA92A57">
            <w:pPr>
              <w:widowControl/>
              <w:rPr>
                <w:rFonts w:hint="default" w:ascii="Calibri" w:hAnsi="Calibri" w:eastAsia="Times New Roman" w:cs="Calibri"/>
                <w:sz w:val="24"/>
                <w:szCs w:val="24"/>
              </w:rPr>
            </w:pPr>
            <w:r>
              <w:rPr>
                <w:rFonts w:hint="default" w:ascii="Calibri" w:hAnsi="Calibri" w:eastAsia="Times New Roman" w:cs="Calibri"/>
                <w:sz w:val="24"/>
                <w:szCs w:val="24"/>
              </w:rPr>
              <w:t>Total monetary value of all goods and services produced in a country.</w:t>
            </w:r>
          </w:p>
        </w:tc>
      </w:tr>
      <w:tr w14:paraId="748C2B57">
        <w:tblPrEx>
          <w:tblCellMar>
            <w:top w:w="15" w:type="dxa"/>
            <w:left w:w="15" w:type="dxa"/>
            <w:bottom w:w="15" w:type="dxa"/>
            <w:right w:w="15" w:type="dxa"/>
          </w:tblCellMar>
        </w:tblPrEx>
        <w:trPr>
          <w:tblCellSpacing w:w="15" w:type="dxa"/>
        </w:trPr>
        <w:tc>
          <w:tcPr>
            <w:tcW w:w="0" w:type="auto"/>
            <w:vAlign w:val="center"/>
          </w:tcPr>
          <w:p w14:paraId="7AF3D696">
            <w:pPr>
              <w:widowControl/>
              <w:rPr>
                <w:rFonts w:hint="default" w:ascii="Calibri" w:hAnsi="Calibri" w:eastAsia="Times New Roman" w:cs="Calibri"/>
                <w:sz w:val="24"/>
                <w:szCs w:val="24"/>
              </w:rPr>
            </w:pPr>
            <w:r>
              <w:rPr>
                <w:rFonts w:hint="default" w:ascii="Calibri" w:hAnsi="Calibri" w:eastAsia="Times New Roman" w:cs="Calibri"/>
                <w:b/>
                <w:bCs/>
                <w:sz w:val="24"/>
                <w:szCs w:val="24"/>
              </w:rPr>
              <w:t>Inflation</w:t>
            </w:r>
          </w:p>
        </w:tc>
        <w:tc>
          <w:tcPr>
            <w:tcW w:w="0" w:type="auto"/>
            <w:vAlign w:val="center"/>
          </w:tcPr>
          <w:p w14:paraId="777C3F0F">
            <w:pPr>
              <w:widowControl/>
              <w:rPr>
                <w:rFonts w:hint="default" w:ascii="Calibri" w:hAnsi="Calibri" w:eastAsia="Times New Roman" w:cs="Calibri"/>
                <w:sz w:val="24"/>
                <w:szCs w:val="24"/>
              </w:rPr>
            </w:pPr>
            <w:r>
              <w:rPr>
                <w:rFonts w:hint="default" w:ascii="Calibri" w:hAnsi="Calibri" w:eastAsia="Times New Roman" w:cs="Calibri"/>
                <w:sz w:val="24"/>
                <w:szCs w:val="24"/>
              </w:rPr>
              <w:t>Rate at which the general level of prices for goods and services rises.</w:t>
            </w:r>
          </w:p>
        </w:tc>
      </w:tr>
      <w:tr w14:paraId="687F0224">
        <w:tblPrEx>
          <w:tblCellMar>
            <w:top w:w="15" w:type="dxa"/>
            <w:left w:w="15" w:type="dxa"/>
            <w:bottom w:w="15" w:type="dxa"/>
            <w:right w:w="15" w:type="dxa"/>
          </w:tblCellMar>
        </w:tblPrEx>
        <w:trPr>
          <w:tblCellSpacing w:w="15" w:type="dxa"/>
        </w:trPr>
        <w:tc>
          <w:tcPr>
            <w:tcW w:w="0" w:type="auto"/>
            <w:vAlign w:val="center"/>
          </w:tcPr>
          <w:p w14:paraId="4067A36A">
            <w:pPr>
              <w:widowControl/>
              <w:rPr>
                <w:rFonts w:hint="default" w:ascii="Calibri" w:hAnsi="Calibri" w:eastAsia="Times New Roman" w:cs="Calibri"/>
                <w:sz w:val="24"/>
                <w:szCs w:val="24"/>
              </w:rPr>
            </w:pPr>
            <w:r>
              <w:rPr>
                <w:rFonts w:hint="default" w:ascii="Calibri" w:hAnsi="Calibri" w:eastAsia="Times New Roman" w:cs="Calibri"/>
                <w:b/>
                <w:bCs/>
                <w:sz w:val="24"/>
                <w:szCs w:val="24"/>
              </w:rPr>
              <w:t>Repo Rate</w:t>
            </w:r>
          </w:p>
        </w:tc>
        <w:tc>
          <w:tcPr>
            <w:tcW w:w="0" w:type="auto"/>
            <w:vAlign w:val="center"/>
          </w:tcPr>
          <w:p w14:paraId="62F4E841">
            <w:pPr>
              <w:widowControl/>
              <w:rPr>
                <w:rFonts w:hint="default" w:ascii="Calibri" w:hAnsi="Calibri" w:eastAsia="Times New Roman" w:cs="Calibri"/>
                <w:sz w:val="24"/>
                <w:szCs w:val="24"/>
              </w:rPr>
            </w:pPr>
            <w:r>
              <w:rPr>
                <w:rFonts w:hint="default" w:ascii="Calibri" w:hAnsi="Calibri" w:eastAsia="Times New Roman" w:cs="Calibri"/>
                <w:sz w:val="24"/>
                <w:szCs w:val="24"/>
              </w:rPr>
              <w:t>Interest rate at which RBI lends money to commercial banks.</w:t>
            </w:r>
          </w:p>
        </w:tc>
      </w:tr>
      <w:tr w14:paraId="12DB46C0">
        <w:tblPrEx>
          <w:tblCellMar>
            <w:top w:w="15" w:type="dxa"/>
            <w:left w:w="15" w:type="dxa"/>
            <w:bottom w:w="15" w:type="dxa"/>
            <w:right w:w="15" w:type="dxa"/>
          </w:tblCellMar>
        </w:tblPrEx>
        <w:trPr>
          <w:tblCellSpacing w:w="15" w:type="dxa"/>
        </w:trPr>
        <w:tc>
          <w:tcPr>
            <w:tcW w:w="0" w:type="auto"/>
            <w:vAlign w:val="center"/>
          </w:tcPr>
          <w:p w14:paraId="6B821AEF">
            <w:pPr>
              <w:widowControl/>
              <w:rPr>
                <w:rFonts w:hint="default" w:ascii="Calibri" w:hAnsi="Calibri" w:eastAsia="Times New Roman" w:cs="Calibri"/>
                <w:sz w:val="24"/>
                <w:szCs w:val="24"/>
              </w:rPr>
            </w:pPr>
            <w:r>
              <w:rPr>
                <w:rFonts w:hint="default" w:ascii="Calibri" w:hAnsi="Calibri" w:eastAsia="Times New Roman" w:cs="Calibri"/>
                <w:b/>
                <w:bCs/>
                <w:sz w:val="24"/>
                <w:szCs w:val="24"/>
              </w:rPr>
              <w:t>Fiscal Deficit</w:t>
            </w:r>
          </w:p>
        </w:tc>
        <w:tc>
          <w:tcPr>
            <w:tcW w:w="0" w:type="auto"/>
            <w:vAlign w:val="center"/>
          </w:tcPr>
          <w:p w14:paraId="79502653">
            <w:pPr>
              <w:widowControl/>
              <w:rPr>
                <w:rFonts w:hint="default" w:ascii="Calibri" w:hAnsi="Calibri" w:eastAsia="Times New Roman" w:cs="Calibri"/>
                <w:sz w:val="24"/>
                <w:szCs w:val="24"/>
              </w:rPr>
            </w:pPr>
            <w:r>
              <w:rPr>
                <w:rFonts w:hint="default" w:ascii="Calibri" w:hAnsi="Calibri" w:eastAsia="Times New Roman" w:cs="Calibri"/>
                <w:sz w:val="24"/>
                <w:szCs w:val="24"/>
              </w:rPr>
              <w:t>The gap between the government’s total expenditure and total revenue (excluding borrowings).</w:t>
            </w:r>
          </w:p>
        </w:tc>
      </w:tr>
      <w:tr w14:paraId="05D70BFC">
        <w:tblPrEx>
          <w:tblCellMar>
            <w:top w:w="15" w:type="dxa"/>
            <w:left w:w="15" w:type="dxa"/>
            <w:bottom w:w="15" w:type="dxa"/>
            <w:right w:w="15" w:type="dxa"/>
          </w:tblCellMar>
        </w:tblPrEx>
        <w:trPr>
          <w:tblCellSpacing w:w="15" w:type="dxa"/>
        </w:trPr>
        <w:tc>
          <w:tcPr>
            <w:tcW w:w="0" w:type="auto"/>
            <w:vAlign w:val="center"/>
          </w:tcPr>
          <w:p w14:paraId="0135EC53">
            <w:pPr>
              <w:widowControl/>
              <w:rPr>
                <w:rFonts w:hint="default" w:ascii="Calibri" w:hAnsi="Calibri" w:eastAsia="Times New Roman" w:cs="Calibri"/>
                <w:sz w:val="24"/>
                <w:szCs w:val="24"/>
              </w:rPr>
            </w:pPr>
            <w:r>
              <w:rPr>
                <w:rFonts w:hint="default" w:ascii="Calibri" w:hAnsi="Calibri" w:eastAsia="Times New Roman" w:cs="Calibri"/>
                <w:b/>
                <w:bCs/>
                <w:sz w:val="24"/>
                <w:szCs w:val="24"/>
              </w:rPr>
              <w:t>Current Account Balance (CAB)</w:t>
            </w:r>
          </w:p>
        </w:tc>
        <w:tc>
          <w:tcPr>
            <w:tcW w:w="0" w:type="auto"/>
            <w:vAlign w:val="center"/>
          </w:tcPr>
          <w:p w14:paraId="0CB7E4F4">
            <w:pPr>
              <w:widowControl/>
              <w:rPr>
                <w:rFonts w:hint="default" w:ascii="Calibri" w:hAnsi="Calibri" w:eastAsia="Times New Roman" w:cs="Calibri"/>
                <w:sz w:val="24"/>
                <w:szCs w:val="24"/>
              </w:rPr>
            </w:pPr>
            <w:r>
              <w:rPr>
                <w:rFonts w:hint="default" w:ascii="Calibri" w:hAnsi="Calibri" w:eastAsia="Times New Roman" w:cs="Calibri"/>
                <w:sz w:val="24"/>
                <w:szCs w:val="24"/>
              </w:rPr>
              <w:t>Difference between a country’s savings and its investment, including trade balance.</w:t>
            </w:r>
          </w:p>
        </w:tc>
      </w:tr>
      <w:tr w14:paraId="4FDFE18E">
        <w:tblPrEx>
          <w:tblCellMar>
            <w:top w:w="15" w:type="dxa"/>
            <w:left w:w="15" w:type="dxa"/>
            <w:bottom w:w="15" w:type="dxa"/>
            <w:right w:w="15" w:type="dxa"/>
          </w:tblCellMar>
        </w:tblPrEx>
        <w:trPr>
          <w:tblCellSpacing w:w="15" w:type="dxa"/>
        </w:trPr>
        <w:tc>
          <w:tcPr>
            <w:tcW w:w="0" w:type="auto"/>
            <w:vAlign w:val="center"/>
          </w:tcPr>
          <w:p w14:paraId="25F36906">
            <w:pPr>
              <w:widowControl/>
              <w:rPr>
                <w:rFonts w:hint="default" w:ascii="Calibri" w:hAnsi="Calibri" w:eastAsia="Times New Roman" w:cs="Calibri"/>
                <w:sz w:val="24"/>
                <w:szCs w:val="24"/>
              </w:rPr>
            </w:pPr>
            <w:r>
              <w:rPr>
                <w:rFonts w:hint="default" w:ascii="Calibri" w:hAnsi="Calibri" w:eastAsia="Times New Roman" w:cs="Calibri"/>
                <w:b/>
                <w:bCs/>
                <w:sz w:val="24"/>
                <w:szCs w:val="24"/>
              </w:rPr>
              <w:t>FII (Foreign Institutional Investor)</w:t>
            </w:r>
          </w:p>
        </w:tc>
        <w:tc>
          <w:tcPr>
            <w:tcW w:w="0" w:type="auto"/>
            <w:vAlign w:val="center"/>
          </w:tcPr>
          <w:p w14:paraId="0610DC4B">
            <w:pPr>
              <w:widowControl/>
              <w:rPr>
                <w:rFonts w:hint="default" w:ascii="Calibri" w:hAnsi="Calibri" w:eastAsia="Times New Roman" w:cs="Calibri"/>
                <w:sz w:val="24"/>
                <w:szCs w:val="24"/>
              </w:rPr>
            </w:pPr>
            <w:r>
              <w:rPr>
                <w:rFonts w:hint="default" w:ascii="Calibri" w:hAnsi="Calibri" w:eastAsia="Times New Roman" w:cs="Calibri"/>
                <w:sz w:val="24"/>
                <w:szCs w:val="24"/>
              </w:rPr>
              <w:t>Overseas investors investing in Indian markets.</w:t>
            </w:r>
          </w:p>
        </w:tc>
      </w:tr>
      <w:tr w14:paraId="7733B839">
        <w:tblPrEx>
          <w:tblCellMar>
            <w:top w:w="15" w:type="dxa"/>
            <w:left w:w="15" w:type="dxa"/>
            <w:bottom w:w="15" w:type="dxa"/>
            <w:right w:w="15" w:type="dxa"/>
          </w:tblCellMar>
        </w:tblPrEx>
        <w:trPr>
          <w:tblCellSpacing w:w="15" w:type="dxa"/>
        </w:trPr>
        <w:tc>
          <w:tcPr>
            <w:tcW w:w="0" w:type="auto"/>
            <w:vAlign w:val="center"/>
          </w:tcPr>
          <w:p w14:paraId="5ADCDE89">
            <w:pPr>
              <w:widowControl/>
              <w:rPr>
                <w:rFonts w:hint="default" w:ascii="Calibri" w:hAnsi="Calibri" w:eastAsia="Times New Roman" w:cs="Calibri"/>
                <w:sz w:val="24"/>
                <w:szCs w:val="24"/>
              </w:rPr>
            </w:pPr>
            <w:r>
              <w:rPr>
                <w:rFonts w:hint="default" w:ascii="Calibri" w:hAnsi="Calibri" w:eastAsia="Times New Roman" w:cs="Calibri"/>
                <w:b/>
                <w:bCs/>
                <w:sz w:val="24"/>
                <w:szCs w:val="24"/>
              </w:rPr>
              <w:t>DII (Domestic Institutional Investor)</w:t>
            </w:r>
          </w:p>
        </w:tc>
        <w:tc>
          <w:tcPr>
            <w:tcW w:w="0" w:type="auto"/>
            <w:vAlign w:val="center"/>
          </w:tcPr>
          <w:p w14:paraId="66521D1C">
            <w:pPr>
              <w:widowControl/>
              <w:rPr>
                <w:rFonts w:hint="default" w:ascii="Calibri" w:hAnsi="Calibri" w:eastAsia="Times New Roman" w:cs="Calibri"/>
                <w:sz w:val="24"/>
                <w:szCs w:val="24"/>
              </w:rPr>
            </w:pPr>
            <w:r>
              <w:rPr>
                <w:rFonts w:hint="default" w:ascii="Calibri" w:hAnsi="Calibri" w:eastAsia="Times New Roman" w:cs="Calibri"/>
                <w:sz w:val="24"/>
                <w:szCs w:val="24"/>
              </w:rPr>
              <w:t>Indian institutions like mutual funds and insurance companies investing in Indian equities.</w:t>
            </w:r>
          </w:p>
        </w:tc>
      </w:tr>
      <w:tr w14:paraId="7A2DBBF5">
        <w:tblPrEx>
          <w:tblCellMar>
            <w:top w:w="15" w:type="dxa"/>
            <w:left w:w="15" w:type="dxa"/>
            <w:bottom w:w="15" w:type="dxa"/>
            <w:right w:w="15" w:type="dxa"/>
          </w:tblCellMar>
        </w:tblPrEx>
        <w:trPr>
          <w:tblCellSpacing w:w="15" w:type="dxa"/>
        </w:trPr>
        <w:tc>
          <w:tcPr>
            <w:tcW w:w="0" w:type="auto"/>
            <w:vAlign w:val="center"/>
          </w:tcPr>
          <w:p w14:paraId="162F68FB">
            <w:pPr>
              <w:widowControl/>
              <w:rPr>
                <w:rFonts w:hint="default" w:ascii="Calibri" w:hAnsi="Calibri" w:eastAsia="Times New Roman" w:cs="Calibri"/>
                <w:sz w:val="24"/>
                <w:szCs w:val="24"/>
              </w:rPr>
            </w:pPr>
            <w:r>
              <w:rPr>
                <w:rFonts w:hint="default" w:ascii="Calibri" w:hAnsi="Calibri" w:eastAsia="Times New Roman" w:cs="Calibri"/>
                <w:b/>
                <w:bCs/>
                <w:sz w:val="24"/>
                <w:szCs w:val="24"/>
              </w:rPr>
              <w:t>Retail Investor</w:t>
            </w:r>
          </w:p>
        </w:tc>
        <w:tc>
          <w:tcPr>
            <w:tcW w:w="0" w:type="auto"/>
            <w:vAlign w:val="center"/>
          </w:tcPr>
          <w:p w14:paraId="33DB2BD8">
            <w:pPr>
              <w:widowControl/>
              <w:rPr>
                <w:rFonts w:hint="default" w:ascii="Calibri" w:hAnsi="Calibri" w:eastAsia="Times New Roman" w:cs="Calibri"/>
                <w:sz w:val="24"/>
                <w:szCs w:val="24"/>
              </w:rPr>
            </w:pPr>
            <w:r>
              <w:rPr>
                <w:rFonts w:hint="default" w:ascii="Calibri" w:hAnsi="Calibri" w:eastAsia="Times New Roman" w:cs="Calibri"/>
                <w:sz w:val="24"/>
                <w:szCs w:val="24"/>
              </w:rPr>
              <w:t>Individual investors who buy/sell securities for personal accounts.</w:t>
            </w:r>
          </w:p>
        </w:tc>
      </w:tr>
      <w:tr w14:paraId="7F99AE00">
        <w:tblPrEx>
          <w:tblCellMar>
            <w:top w:w="15" w:type="dxa"/>
            <w:left w:w="15" w:type="dxa"/>
            <w:bottom w:w="15" w:type="dxa"/>
            <w:right w:w="15" w:type="dxa"/>
          </w:tblCellMar>
        </w:tblPrEx>
        <w:trPr>
          <w:tblCellSpacing w:w="15" w:type="dxa"/>
        </w:trPr>
        <w:tc>
          <w:tcPr>
            <w:tcW w:w="0" w:type="auto"/>
            <w:vAlign w:val="center"/>
          </w:tcPr>
          <w:p w14:paraId="47909293">
            <w:pPr>
              <w:widowControl/>
              <w:rPr>
                <w:rFonts w:hint="default" w:ascii="Calibri" w:hAnsi="Calibri" w:eastAsia="Times New Roman" w:cs="Calibri"/>
                <w:sz w:val="24"/>
                <w:szCs w:val="24"/>
              </w:rPr>
            </w:pPr>
            <w:r>
              <w:rPr>
                <w:rFonts w:hint="default" w:ascii="Calibri" w:hAnsi="Calibri" w:eastAsia="Times New Roman" w:cs="Calibri"/>
                <w:b/>
                <w:bCs/>
                <w:sz w:val="24"/>
                <w:szCs w:val="24"/>
              </w:rPr>
              <w:t>Demat Account</w:t>
            </w:r>
          </w:p>
        </w:tc>
        <w:tc>
          <w:tcPr>
            <w:tcW w:w="0" w:type="auto"/>
            <w:vAlign w:val="center"/>
          </w:tcPr>
          <w:p w14:paraId="1053F2E3">
            <w:pPr>
              <w:widowControl/>
              <w:rPr>
                <w:rFonts w:hint="default" w:ascii="Calibri" w:hAnsi="Calibri" w:eastAsia="Times New Roman" w:cs="Calibri"/>
                <w:sz w:val="24"/>
                <w:szCs w:val="24"/>
              </w:rPr>
            </w:pPr>
            <w:r>
              <w:rPr>
                <w:rFonts w:hint="default" w:ascii="Calibri" w:hAnsi="Calibri" w:eastAsia="Times New Roman" w:cs="Calibri"/>
                <w:sz w:val="24"/>
                <w:szCs w:val="24"/>
              </w:rPr>
              <w:t>An account to hold shares and securities electronically.</w:t>
            </w:r>
          </w:p>
        </w:tc>
      </w:tr>
      <w:tr w14:paraId="3355FDD3">
        <w:tblPrEx>
          <w:tblCellMar>
            <w:top w:w="15" w:type="dxa"/>
            <w:left w:w="15" w:type="dxa"/>
            <w:bottom w:w="15" w:type="dxa"/>
            <w:right w:w="15" w:type="dxa"/>
          </w:tblCellMar>
        </w:tblPrEx>
        <w:trPr>
          <w:tblCellSpacing w:w="15" w:type="dxa"/>
        </w:trPr>
        <w:tc>
          <w:tcPr>
            <w:tcW w:w="0" w:type="auto"/>
            <w:vAlign w:val="center"/>
          </w:tcPr>
          <w:p w14:paraId="45B53767">
            <w:pPr>
              <w:widowControl/>
              <w:rPr>
                <w:rFonts w:hint="default" w:ascii="Calibri" w:hAnsi="Calibri" w:eastAsia="Times New Roman" w:cs="Calibri"/>
                <w:sz w:val="24"/>
                <w:szCs w:val="24"/>
              </w:rPr>
            </w:pPr>
            <w:r>
              <w:rPr>
                <w:rFonts w:hint="default" w:ascii="Calibri" w:hAnsi="Calibri" w:eastAsia="Times New Roman" w:cs="Calibri"/>
                <w:b/>
                <w:bCs/>
                <w:sz w:val="24"/>
                <w:szCs w:val="24"/>
              </w:rPr>
              <w:t>IPO (Initial Public Offering)</w:t>
            </w:r>
          </w:p>
        </w:tc>
        <w:tc>
          <w:tcPr>
            <w:tcW w:w="0" w:type="auto"/>
            <w:vAlign w:val="center"/>
          </w:tcPr>
          <w:p w14:paraId="541B3891">
            <w:pPr>
              <w:widowControl/>
              <w:rPr>
                <w:rFonts w:hint="default" w:ascii="Calibri" w:hAnsi="Calibri" w:eastAsia="Times New Roman" w:cs="Calibri"/>
                <w:sz w:val="24"/>
                <w:szCs w:val="24"/>
              </w:rPr>
            </w:pPr>
            <w:r>
              <w:rPr>
                <w:rFonts w:hint="default" w:ascii="Calibri" w:hAnsi="Calibri" w:eastAsia="Times New Roman" w:cs="Calibri"/>
                <w:sz w:val="24"/>
                <w:szCs w:val="24"/>
              </w:rPr>
              <w:t>When a private company offers its shares to the public for the first time.</w:t>
            </w:r>
          </w:p>
        </w:tc>
      </w:tr>
      <w:tr w14:paraId="124A5905">
        <w:tblPrEx>
          <w:tblCellMar>
            <w:top w:w="15" w:type="dxa"/>
            <w:left w:w="15" w:type="dxa"/>
            <w:bottom w:w="15" w:type="dxa"/>
            <w:right w:w="15" w:type="dxa"/>
          </w:tblCellMar>
        </w:tblPrEx>
        <w:trPr>
          <w:tblCellSpacing w:w="15" w:type="dxa"/>
        </w:trPr>
        <w:tc>
          <w:tcPr>
            <w:tcW w:w="0" w:type="auto"/>
            <w:vAlign w:val="center"/>
          </w:tcPr>
          <w:p w14:paraId="04F757C1">
            <w:pPr>
              <w:widowControl/>
              <w:rPr>
                <w:rFonts w:hint="default" w:ascii="Calibri" w:hAnsi="Calibri" w:eastAsia="Times New Roman" w:cs="Calibri"/>
                <w:sz w:val="24"/>
                <w:szCs w:val="24"/>
              </w:rPr>
            </w:pPr>
            <w:r>
              <w:rPr>
                <w:rFonts w:hint="default" w:ascii="Calibri" w:hAnsi="Calibri" w:eastAsia="Times New Roman" w:cs="Calibri"/>
                <w:b/>
                <w:bCs/>
                <w:sz w:val="24"/>
                <w:szCs w:val="24"/>
              </w:rPr>
              <w:t>Listing Gain</w:t>
            </w:r>
          </w:p>
        </w:tc>
        <w:tc>
          <w:tcPr>
            <w:tcW w:w="0" w:type="auto"/>
            <w:vAlign w:val="center"/>
          </w:tcPr>
          <w:p w14:paraId="1FEE4143">
            <w:pPr>
              <w:widowControl/>
              <w:rPr>
                <w:rFonts w:hint="default" w:ascii="Calibri" w:hAnsi="Calibri" w:eastAsia="Times New Roman" w:cs="Calibri"/>
                <w:sz w:val="24"/>
                <w:szCs w:val="24"/>
              </w:rPr>
            </w:pPr>
            <w:r>
              <w:rPr>
                <w:rFonts w:hint="default" w:ascii="Calibri" w:hAnsi="Calibri" w:eastAsia="Times New Roman" w:cs="Calibri"/>
                <w:sz w:val="24"/>
                <w:szCs w:val="24"/>
              </w:rPr>
              <w:t xml:space="preserve">The price difference between the IPO issue price and the price at which it </w:t>
            </w:r>
            <w:r>
              <w:rPr>
                <w:rFonts w:hint="default" w:ascii="Calibri" w:hAnsi="Calibri" w:eastAsia="Times New Roman" w:cs="Calibri"/>
                <w:sz w:val="24"/>
                <w:szCs w:val="24"/>
                <w:lang w:val="en-IN"/>
              </w:rPr>
              <w:t>closed on listing day</w:t>
            </w:r>
            <w:r>
              <w:rPr>
                <w:rFonts w:hint="default" w:ascii="Calibri" w:hAnsi="Calibri" w:eastAsia="Times New Roman" w:cs="Calibri"/>
                <w:sz w:val="24"/>
                <w:szCs w:val="24"/>
              </w:rPr>
              <w:t>.</w:t>
            </w:r>
          </w:p>
        </w:tc>
      </w:tr>
      <w:tr w14:paraId="1FAFC4D1">
        <w:tblPrEx>
          <w:tblCellMar>
            <w:top w:w="15" w:type="dxa"/>
            <w:left w:w="15" w:type="dxa"/>
            <w:bottom w:w="15" w:type="dxa"/>
            <w:right w:w="15" w:type="dxa"/>
          </w:tblCellMar>
        </w:tblPrEx>
        <w:trPr>
          <w:tblCellSpacing w:w="15" w:type="dxa"/>
        </w:trPr>
        <w:tc>
          <w:tcPr>
            <w:tcW w:w="0" w:type="auto"/>
            <w:vAlign w:val="center"/>
          </w:tcPr>
          <w:p w14:paraId="4945D8B4">
            <w:pPr>
              <w:widowControl/>
              <w:rPr>
                <w:rFonts w:hint="default" w:ascii="Calibri" w:hAnsi="Calibri" w:eastAsia="Times New Roman" w:cs="Calibri"/>
                <w:sz w:val="24"/>
                <w:szCs w:val="24"/>
              </w:rPr>
            </w:pPr>
            <w:r>
              <w:rPr>
                <w:rFonts w:hint="default" w:ascii="Calibri" w:hAnsi="Calibri" w:eastAsia="Times New Roman" w:cs="Calibri"/>
                <w:b/>
                <w:bCs/>
                <w:sz w:val="24"/>
                <w:szCs w:val="24"/>
              </w:rPr>
              <w:t>Long-Term Gain</w:t>
            </w:r>
          </w:p>
        </w:tc>
        <w:tc>
          <w:tcPr>
            <w:tcW w:w="0" w:type="auto"/>
            <w:vAlign w:val="center"/>
          </w:tcPr>
          <w:p w14:paraId="17973A99">
            <w:pPr>
              <w:widowControl/>
              <w:rPr>
                <w:rFonts w:hint="default" w:ascii="Calibri" w:hAnsi="Calibri" w:eastAsia="Times New Roman" w:cs="Calibri"/>
                <w:sz w:val="24"/>
                <w:szCs w:val="24"/>
                <w:lang w:val="en-IN"/>
              </w:rPr>
            </w:pPr>
            <w:r>
              <w:rPr>
                <w:rFonts w:hint="default" w:ascii="Calibri" w:hAnsi="Calibri" w:eastAsia="Times New Roman" w:cs="Calibri"/>
                <w:sz w:val="24"/>
                <w:szCs w:val="24"/>
              </w:rPr>
              <w:t>The capital appreciation of a stock over a longer period beyond listing.</w:t>
            </w:r>
            <w:r>
              <w:rPr>
                <w:rFonts w:hint="default" w:ascii="Calibri" w:hAnsi="Calibri" w:eastAsia="Times New Roman" w:cs="Calibri"/>
                <w:sz w:val="24"/>
                <w:szCs w:val="24"/>
                <w:lang w:val="en-IN"/>
              </w:rPr>
              <w:t xml:space="preserve"> The difference between current market price and issue price</w:t>
            </w:r>
          </w:p>
        </w:tc>
      </w:tr>
      <w:tr w14:paraId="0F82B2F4">
        <w:tblPrEx>
          <w:tblCellMar>
            <w:top w:w="15" w:type="dxa"/>
            <w:left w:w="15" w:type="dxa"/>
            <w:bottom w:w="15" w:type="dxa"/>
            <w:right w:w="15" w:type="dxa"/>
          </w:tblCellMar>
        </w:tblPrEx>
        <w:trPr>
          <w:tblCellSpacing w:w="15" w:type="dxa"/>
        </w:trPr>
        <w:tc>
          <w:tcPr>
            <w:tcW w:w="0" w:type="auto"/>
            <w:vAlign w:val="center"/>
          </w:tcPr>
          <w:p w14:paraId="351E5979">
            <w:pPr>
              <w:widowControl/>
              <w:rPr>
                <w:rFonts w:hint="default" w:ascii="Calibri" w:hAnsi="Calibri" w:eastAsia="Times New Roman" w:cs="Calibri"/>
                <w:sz w:val="24"/>
                <w:szCs w:val="24"/>
              </w:rPr>
            </w:pPr>
            <w:r>
              <w:rPr>
                <w:rFonts w:hint="default" w:ascii="Calibri" w:hAnsi="Calibri" w:eastAsia="Times New Roman" w:cs="Calibri"/>
                <w:b/>
                <w:bCs/>
                <w:sz w:val="24"/>
                <w:szCs w:val="24"/>
              </w:rPr>
              <w:t>Subscription Rate</w:t>
            </w:r>
          </w:p>
        </w:tc>
        <w:tc>
          <w:tcPr>
            <w:tcW w:w="0" w:type="auto"/>
            <w:vAlign w:val="center"/>
          </w:tcPr>
          <w:p w14:paraId="685B3EBC">
            <w:pPr>
              <w:widowControl/>
              <w:rPr>
                <w:rFonts w:hint="default" w:ascii="Calibri" w:hAnsi="Calibri" w:eastAsia="Times New Roman" w:cs="Calibri"/>
                <w:sz w:val="24"/>
                <w:szCs w:val="24"/>
                <w:lang w:val="en-IN"/>
              </w:rPr>
            </w:pPr>
            <w:r>
              <w:rPr>
                <w:rFonts w:hint="default" w:ascii="Calibri" w:hAnsi="Calibri" w:eastAsia="Times New Roman" w:cs="Calibri"/>
                <w:sz w:val="24"/>
                <w:szCs w:val="24"/>
              </w:rPr>
              <w:t>The extent to which an IPO is oversubscribed, measured in multiples (e.g., 60x)</w:t>
            </w:r>
            <w:r>
              <w:rPr>
                <w:rFonts w:hint="default" w:ascii="Calibri" w:hAnsi="Calibri" w:eastAsia="Times New Roman" w:cs="Calibri"/>
                <w:sz w:val="24"/>
                <w:szCs w:val="24"/>
                <w:lang w:val="en-IN"/>
              </w:rPr>
              <w:t xml:space="preserve"> of issue price</w:t>
            </w:r>
          </w:p>
        </w:tc>
      </w:tr>
      <w:tr w14:paraId="72789950">
        <w:tblPrEx>
          <w:tblCellMar>
            <w:top w:w="15" w:type="dxa"/>
            <w:left w:w="15" w:type="dxa"/>
            <w:bottom w:w="15" w:type="dxa"/>
            <w:right w:w="15" w:type="dxa"/>
          </w:tblCellMar>
        </w:tblPrEx>
        <w:trPr>
          <w:tblCellSpacing w:w="15" w:type="dxa"/>
        </w:trPr>
        <w:tc>
          <w:tcPr>
            <w:tcW w:w="0" w:type="auto"/>
            <w:vAlign w:val="center"/>
          </w:tcPr>
          <w:p w14:paraId="2417E966">
            <w:pPr>
              <w:widowControl/>
              <w:rPr>
                <w:rFonts w:hint="default" w:ascii="Calibri" w:hAnsi="Calibri" w:eastAsia="Times New Roman" w:cs="Calibri"/>
                <w:sz w:val="24"/>
                <w:szCs w:val="24"/>
              </w:rPr>
            </w:pPr>
            <w:r>
              <w:rPr>
                <w:rFonts w:hint="default" w:ascii="Calibri" w:hAnsi="Calibri" w:eastAsia="Times New Roman" w:cs="Calibri"/>
                <w:b/>
                <w:bCs/>
                <w:sz w:val="24"/>
                <w:szCs w:val="24"/>
              </w:rPr>
              <w:t>QIB (Qualified Institutional Buyer)</w:t>
            </w:r>
          </w:p>
        </w:tc>
        <w:tc>
          <w:tcPr>
            <w:tcW w:w="0" w:type="auto"/>
            <w:vAlign w:val="center"/>
          </w:tcPr>
          <w:p w14:paraId="4461AEB8">
            <w:pPr>
              <w:widowControl/>
              <w:rPr>
                <w:rFonts w:hint="default" w:ascii="Calibri" w:hAnsi="Calibri" w:eastAsia="Times New Roman" w:cs="Calibri"/>
                <w:sz w:val="24"/>
                <w:szCs w:val="24"/>
              </w:rPr>
            </w:pPr>
            <w:r>
              <w:rPr>
                <w:rFonts w:hint="default" w:ascii="Calibri" w:hAnsi="Calibri" w:eastAsia="Times New Roman" w:cs="Calibri"/>
                <w:sz w:val="24"/>
                <w:szCs w:val="24"/>
              </w:rPr>
              <w:t>Institutional investors like banks, mutual funds, and insurance firms.</w:t>
            </w:r>
          </w:p>
        </w:tc>
      </w:tr>
      <w:tr w14:paraId="7F9DD78A">
        <w:tblPrEx>
          <w:tblCellMar>
            <w:top w:w="15" w:type="dxa"/>
            <w:left w:w="15" w:type="dxa"/>
            <w:bottom w:w="15" w:type="dxa"/>
            <w:right w:w="15" w:type="dxa"/>
          </w:tblCellMar>
        </w:tblPrEx>
        <w:trPr>
          <w:tblCellSpacing w:w="15" w:type="dxa"/>
        </w:trPr>
        <w:tc>
          <w:tcPr>
            <w:tcW w:w="0" w:type="auto"/>
            <w:vAlign w:val="center"/>
          </w:tcPr>
          <w:p w14:paraId="179E956A">
            <w:pPr>
              <w:widowControl/>
              <w:rPr>
                <w:rFonts w:hint="default" w:ascii="Calibri" w:hAnsi="Calibri" w:eastAsia="Times New Roman" w:cs="Calibri"/>
                <w:sz w:val="24"/>
                <w:szCs w:val="24"/>
              </w:rPr>
            </w:pPr>
            <w:r>
              <w:rPr>
                <w:rFonts w:hint="default" w:ascii="Calibri" w:hAnsi="Calibri" w:eastAsia="Times New Roman" w:cs="Calibri"/>
                <w:b/>
                <w:bCs/>
                <w:sz w:val="24"/>
                <w:szCs w:val="24"/>
              </w:rPr>
              <w:t>NII (Non-Institutional Investor)</w:t>
            </w:r>
          </w:p>
        </w:tc>
        <w:tc>
          <w:tcPr>
            <w:tcW w:w="0" w:type="auto"/>
            <w:vAlign w:val="center"/>
          </w:tcPr>
          <w:p w14:paraId="39D6C705">
            <w:pPr>
              <w:widowControl/>
              <w:rPr>
                <w:rFonts w:hint="default" w:ascii="Calibri" w:hAnsi="Calibri" w:eastAsia="Times New Roman" w:cs="Calibri"/>
                <w:sz w:val="24"/>
                <w:szCs w:val="24"/>
              </w:rPr>
            </w:pPr>
            <w:r>
              <w:rPr>
                <w:rFonts w:hint="default" w:ascii="Calibri" w:hAnsi="Calibri" w:eastAsia="Times New Roman" w:cs="Calibri"/>
                <w:sz w:val="24"/>
                <w:szCs w:val="24"/>
              </w:rPr>
              <w:t>High-net-worth individuals who invest large amounts in IPOs.</w:t>
            </w:r>
          </w:p>
        </w:tc>
      </w:tr>
      <w:tr w14:paraId="4435FF45">
        <w:tblPrEx>
          <w:tblCellMar>
            <w:top w:w="15" w:type="dxa"/>
            <w:left w:w="15" w:type="dxa"/>
            <w:bottom w:w="15" w:type="dxa"/>
            <w:right w:w="15" w:type="dxa"/>
          </w:tblCellMar>
        </w:tblPrEx>
        <w:trPr>
          <w:tblCellSpacing w:w="15" w:type="dxa"/>
        </w:trPr>
        <w:tc>
          <w:tcPr>
            <w:tcW w:w="0" w:type="auto"/>
            <w:vAlign w:val="center"/>
          </w:tcPr>
          <w:p w14:paraId="6562C955">
            <w:pPr>
              <w:widowControl/>
              <w:rPr>
                <w:rFonts w:hint="default" w:ascii="Calibri" w:hAnsi="Calibri" w:eastAsia="Times New Roman" w:cs="Calibri"/>
                <w:sz w:val="24"/>
                <w:szCs w:val="24"/>
              </w:rPr>
            </w:pPr>
            <w:r>
              <w:rPr>
                <w:rFonts w:hint="default" w:ascii="Calibri" w:hAnsi="Calibri" w:eastAsia="Times New Roman" w:cs="Calibri"/>
                <w:b/>
                <w:bCs/>
                <w:sz w:val="24"/>
                <w:szCs w:val="24"/>
              </w:rPr>
              <w:t>ETL (Extract, Transform, Load)</w:t>
            </w:r>
          </w:p>
        </w:tc>
        <w:tc>
          <w:tcPr>
            <w:tcW w:w="0" w:type="auto"/>
            <w:vAlign w:val="center"/>
          </w:tcPr>
          <w:p w14:paraId="19D2B9FE">
            <w:pPr>
              <w:widowControl/>
              <w:rPr>
                <w:rFonts w:hint="default" w:ascii="Calibri" w:hAnsi="Calibri" w:eastAsia="Times New Roman" w:cs="Calibri"/>
                <w:sz w:val="24"/>
                <w:szCs w:val="24"/>
              </w:rPr>
            </w:pPr>
            <w:r>
              <w:rPr>
                <w:rFonts w:hint="default" w:ascii="Calibri" w:hAnsi="Calibri" w:eastAsia="Times New Roman" w:cs="Calibri"/>
                <w:sz w:val="24"/>
                <w:szCs w:val="24"/>
              </w:rPr>
              <w:t>A process used in data processing to gather, clean, and structure data for analysis.</w:t>
            </w:r>
          </w:p>
        </w:tc>
      </w:tr>
      <w:tr w14:paraId="7AC058FD">
        <w:tblPrEx>
          <w:tblCellMar>
            <w:top w:w="15" w:type="dxa"/>
            <w:left w:w="15" w:type="dxa"/>
            <w:bottom w:w="15" w:type="dxa"/>
            <w:right w:w="15" w:type="dxa"/>
          </w:tblCellMar>
        </w:tblPrEx>
        <w:trPr>
          <w:tblCellSpacing w:w="15" w:type="dxa"/>
        </w:trPr>
        <w:tc>
          <w:tcPr>
            <w:tcW w:w="0" w:type="auto"/>
            <w:vAlign w:val="center"/>
          </w:tcPr>
          <w:p w14:paraId="668EC42B">
            <w:pPr>
              <w:widowControl/>
              <w:rPr>
                <w:rFonts w:hint="default" w:ascii="Calibri" w:hAnsi="Calibri" w:eastAsia="Times New Roman" w:cs="Calibri"/>
                <w:sz w:val="24"/>
                <w:szCs w:val="24"/>
              </w:rPr>
            </w:pPr>
            <w:r>
              <w:rPr>
                <w:rFonts w:hint="default" w:ascii="Calibri" w:hAnsi="Calibri" w:eastAsia="Times New Roman" w:cs="Calibri"/>
                <w:b/>
                <w:bCs/>
                <w:sz w:val="24"/>
                <w:szCs w:val="24"/>
              </w:rPr>
              <w:t>Power BI</w:t>
            </w:r>
          </w:p>
        </w:tc>
        <w:tc>
          <w:tcPr>
            <w:tcW w:w="0" w:type="auto"/>
            <w:vAlign w:val="center"/>
          </w:tcPr>
          <w:p w14:paraId="0E08981D">
            <w:pPr>
              <w:widowControl/>
              <w:rPr>
                <w:rFonts w:hint="default" w:ascii="Calibri" w:hAnsi="Calibri" w:eastAsia="Times New Roman" w:cs="Calibri"/>
                <w:sz w:val="24"/>
                <w:szCs w:val="24"/>
              </w:rPr>
            </w:pPr>
            <w:r>
              <w:rPr>
                <w:rFonts w:hint="default" w:ascii="Calibri" w:hAnsi="Calibri" w:eastAsia="Times New Roman" w:cs="Calibri"/>
                <w:sz w:val="24"/>
                <w:szCs w:val="24"/>
              </w:rPr>
              <w:t>A Microsoft visualization tool used for building interactive reports and dashboards.</w:t>
            </w:r>
          </w:p>
        </w:tc>
      </w:tr>
      <w:tr w14:paraId="3F01A06F">
        <w:tblPrEx>
          <w:tblCellMar>
            <w:top w:w="15" w:type="dxa"/>
            <w:left w:w="15" w:type="dxa"/>
            <w:bottom w:w="15" w:type="dxa"/>
            <w:right w:w="15" w:type="dxa"/>
          </w:tblCellMar>
        </w:tblPrEx>
        <w:trPr>
          <w:tblCellSpacing w:w="15" w:type="dxa"/>
        </w:trPr>
        <w:tc>
          <w:tcPr>
            <w:tcW w:w="0" w:type="auto"/>
            <w:vAlign w:val="center"/>
          </w:tcPr>
          <w:p w14:paraId="4022D48D">
            <w:pPr>
              <w:widowControl/>
              <w:rPr>
                <w:rFonts w:hint="default" w:ascii="Calibri" w:hAnsi="Calibri" w:eastAsia="Times New Roman" w:cs="Calibri"/>
                <w:sz w:val="24"/>
                <w:szCs w:val="24"/>
              </w:rPr>
            </w:pPr>
            <w:r>
              <w:rPr>
                <w:rFonts w:hint="default" w:ascii="Calibri" w:hAnsi="Calibri" w:eastAsia="Times New Roman" w:cs="Calibri"/>
                <w:b/>
                <w:bCs/>
                <w:sz w:val="24"/>
                <w:szCs w:val="24"/>
              </w:rPr>
              <w:t>Python</w:t>
            </w:r>
          </w:p>
        </w:tc>
        <w:tc>
          <w:tcPr>
            <w:tcW w:w="0" w:type="auto"/>
            <w:vAlign w:val="center"/>
          </w:tcPr>
          <w:p w14:paraId="1340FB9E">
            <w:pPr>
              <w:widowControl/>
              <w:rPr>
                <w:rFonts w:hint="default" w:ascii="Calibri" w:hAnsi="Calibri" w:eastAsia="Times New Roman" w:cs="Calibri"/>
                <w:sz w:val="24"/>
                <w:szCs w:val="24"/>
              </w:rPr>
            </w:pPr>
            <w:r>
              <w:rPr>
                <w:rFonts w:hint="default" w:ascii="Calibri" w:hAnsi="Calibri" w:eastAsia="Times New Roman" w:cs="Calibri"/>
                <w:sz w:val="24"/>
                <w:szCs w:val="24"/>
              </w:rPr>
              <w:t>A programming language used for data cleaning, processing, and analysis.</w:t>
            </w:r>
          </w:p>
        </w:tc>
      </w:tr>
      <w:tr w14:paraId="381D47CA">
        <w:tblPrEx>
          <w:tblCellMar>
            <w:top w:w="15" w:type="dxa"/>
            <w:left w:w="15" w:type="dxa"/>
            <w:bottom w:w="15" w:type="dxa"/>
            <w:right w:w="15" w:type="dxa"/>
          </w:tblCellMar>
        </w:tblPrEx>
        <w:trPr>
          <w:tblCellSpacing w:w="15" w:type="dxa"/>
        </w:trPr>
        <w:tc>
          <w:tcPr>
            <w:tcW w:w="0" w:type="auto"/>
            <w:vAlign w:val="center"/>
          </w:tcPr>
          <w:p w14:paraId="3C749977">
            <w:pPr>
              <w:widowControl/>
              <w:rPr>
                <w:rFonts w:hint="default" w:ascii="Calibri" w:hAnsi="Calibri" w:eastAsia="Times New Roman" w:cs="Calibri"/>
                <w:sz w:val="24"/>
                <w:szCs w:val="24"/>
              </w:rPr>
            </w:pPr>
            <w:r>
              <w:rPr>
                <w:rFonts w:hint="default" w:ascii="Calibri" w:hAnsi="Calibri" w:eastAsia="Times New Roman" w:cs="Calibri"/>
                <w:b/>
                <w:bCs/>
                <w:sz w:val="24"/>
                <w:szCs w:val="24"/>
              </w:rPr>
              <w:t>MS Excel</w:t>
            </w:r>
          </w:p>
        </w:tc>
        <w:tc>
          <w:tcPr>
            <w:tcW w:w="0" w:type="auto"/>
            <w:vAlign w:val="center"/>
          </w:tcPr>
          <w:p w14:paraId="60304D95">
            <w:pPr>
              <w:widowControl/>
              <w:rPr>
                <w:rFonts w:hint="default" w:ascii="Calibri" w:hAnsi="Calibri" w:eastAsia="Times New Roman" w:cs="Calibri"/>
                <w:sz w:val="24"/>
                <w:szCs w:val="24"/>
              </w:rPr>
            </w:pPr>
            <w:r>
              <w:rPr>
                <w:rFonts w:hint="default" w:ascii="Calibri" w:hAnsi="Calibri" w:eastAsia="Times New Roman" w:cs="Calibri"/>
                <w:sz w:val="24"/>
                <w:szCs w:val="24"/>
              </w:rPr>
              <w:t>Spreadsheet software used for organizing, cleaning, and processing data.</w:t>
            </w:r>
          </w:p>
        </w:tc>
      </w:tr>
    </w:tbl>
    <w:p w14:paraId="40D164E7">
      <w:pPr>
        <w:spacing w:before="120" w:after="240" w:line="360" w:lineRule="auto"/>
        <w:rPr>
          <w:rFonts w:hint="default" w:ascii="Calibri" w:hAnsi="Calibri" w:eastAsia="Google Sans Text" w:cs="Calibri"/>
          <w:b/>
          <w:bCs/>
          <w:color w:val="1B1C1D"/>
          <w:sz w:val="28"/>
          <w:szCs w:val="28"/>
          <w:u w:val="single"/>
        </w:rPr>
      </w:pPr>
    </w:p>
    <w:sectPr>
      <w:pgSz w:w="12240" w:h="15840"/>
      <w:pgMar w:top="1440" w:right="1440" w:bottom="1440" w:left="1440" w:header="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Google Sans">
    <w:altName w:val="Segoe Print"/>
    <w:panose1 w:val="020B0604020202020204"/>
    <w:charset w:val="00"/>
    <w:family w:val="auto"/>
    <w:pitch w:val="default"/>
    <w:sig w:usb0="00000000" w:usb1="00000000" w:usb2="00000000" w:usb3="00000000" w:csb0="00000000" w:csb1="00000000"/>
  </w:font>
  <w:font w:name="Google Sans Text">
    <w:altName w:val="Segoe Print"/>
    <w:panose1 w:val="020B0604020202020204"/>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AAC5FA"/>
    <w:multiLevelType w:val="singleLevel"/>
    <w:tmpl w:val="84AAC5FA"/>
    <w:lvl w:ilvl="0" w:tentative="0">
      <w:start w:val="1"/>
      <w:numFmt w:val="decimal"/>
      <w:suff w:val="space"/>
      <w:lvlText w:val="%1."/>
      <w:lvlJc w:val="left"/>
    </w:lvl>
  </w:abstractNum>
  <w:abstractNum w:abstractNumId="1">
    <w:nsid w:val="94410735"/>
    <w:multiLevelType w:val="singleLevel"/>
    <w:tmpl w:val="94410735"/>
    <w:lvl w:ilvl="0" w:tentative="0">
      <w:start w:val="1"/>
      <w:numFmt w:val="decimal"/>
      <w:suff w:val="space"/>
      <w:lvlText w:val="%1."/>
      <w:lvlJc w:val="left"/>
    </w:lvl>
  </w:abstractNum>
  <w:abstractNum w:abstractNumId="2">
    <w:nsid w:val="C103056A"/>
    <w:multiLevelType w:val="singleLevel"/>
    <w:tmpl w:val="C103056A"/>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3">
    <w:nsid w:val="195B959B"/>
    <w:multiLevelType w:val="singleLevel"/>
    <w:tmpl w:val="195B959B"/>
    <w:lvl w:ilvl="0" w:tentative="0">
      <w:start w:val="1"/>
      <w:numFmt w:val="decimal"/>
      <w:suff w:val="space"/>
      <w:lvlText w:val="%1."/>
      <w:lvlJc w:val="left"/>
    </w:lvl>
  </w:abstractNum>
  <w:abstractNum w:abstractNumId="4">
    <w:nsid w:val="739C739A"/>
    <w:multiLevelType w:val="multilevel"/>
    <w:tmpl w:val="739C739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A09"/>
    <w:rsid w:val="000E3EA5"/>
    <w:rsid w:val="00285CF8"/>
    <w:rsid w:val="00360A75"/>
    <w:rsid w:val="00470A09"/>
    <w:rsid w:val="004C2DBE"/>
    <w:rsid w:val="004E7430"/>
    <w:rsid w:val="0055188E"/>
    <w:rsid w:val="006406C1"/>
    <w:rsid w:val="006A6C10"/>
    <w:rsid w:val="00755364"/>
    <w:rsid w:val="00863F0E"/>
    <w:rsid w:val="00886CD8"/>
    <w:rsid w:val="00946D1D"/>
    <w:rsid w:val="009E7F11"/>
    <w:rsid w:val="00B91DBF"/>
    <w:rsid w:val="00BC75A4"/>
    <w:rsid w:val="00C92442"/>
    <w:rsid w:val="00CD6B06"/>
    <w:rsid w:val="00D22E53"/>
    <w:rsid w:val="016D72E4"/>
    <w:rsid w:val="01B87689"/>
    <w:rsid w:val="02574CE3"/>
    <w:rsid w:val="0272766A"/>
    <w:rsid w:val="02AD7C71"/>
    <w:rsid w:val="02BE18FE"/>
    <w:rsid w:val="02F2600B"/>
    <w:rsid w:val="03944F6A"/>
    <w:rsid w:val="03A27284"/>
    <w:rsid w:val="05616332"/>
    <w:rsid w:val="05870B8F"/>
    <w:rsid w:val="058D5B2B"/>
    <w:rsid w:val="05D53D21"/>
    <w:rsid w:val="06462D5B"/>
    <w:rsid w:val="06557AF2"/>
    <w:rsid w:val="06A0494E"/>
    <w:rsid w:val="06C7294C"/>
    <w:rsid w:val="07002189"/>
    <w:rsid w:val="074F26CF"/>
    <w:rsid w:val="07650E4F"/>
    <w:rsid w:val="079C3C58"/>
    <w:rsid w:val="07D15ABF"/>
    <w:rsid w:val="082208BE"/>
    <w:rsid w:val="0854453D"/>
    <w:rsid w:val="08594CC6"/>
    <w:rsid w:val="088840F9"/>
    <w:rsid w:val="08B767EB"/>
    <w:rsid w:val="08C76272"/>
    <w:rsid w:val="097D073B"/>
    <w:rsid w:val="09C92632"/>
    <w:rsid w:val="09EC7270"/>
    <w:rsid w:val="0A36131A"/>
    <w:rsid w:val="0B180098"/>
    <w:rsid w:val="0BA06F01"/>
    <w:rsid w:val="0BDD4ECD"/>
    <w:rsid w:val="0C2B069A"/>
    <w:rsid w:val="0C5C5076"/>
    <w:rsid w:val="0C98693B"/>
    <w:rsid w:val="0CCE1990"/>
    <w:rsid w:val="0CDE4E63"/>
    <w:rsid w:val="0D1706A5"/>
    <w:rsid w:val="0D2C212C"/>
    <w:rsid w:val="0D9D27EB"/>
    <w:rsid w:val="0E25214E"/>
    <w:rsid w:val="0E984E7C"/>
    <w:rsid w:val="0E9D0B5F"/>
    <w:rsid w:val="0F576E62"/>
    <w:rsid w:val="0F76089E"/>
    <w:rsid w:val="0FB727A3"/>
    <w:rsid w:val="0FBA2E98"/>
    <w:rsid w:val="109A270B"/>
    <w:rsid w:val="10B55E2B"/>
    <w:rsid w:val="10C2280A"/>
    <w:rsid w:val="112273AB"/>
    <w:rsid w:val="118939F5"/>
    <w:rsid w:val="13060846"/>
    <w:rsid w:val="134319D2"/>
    <w:rsid w:val="1350413D"/>
    <w:rsid w:val="136758E1"/>
    <w:rsid w:val="13834213"/>
    <w:rsid w:val="13853604"/>
    <w:rsid w:val="139B0D39"/>
    <w:rsid w:val="13BB37EC"/>
    <w:rsid w:val="145A45EF"/>
    <w:rsid w:val="14AF1AFB"/>
    <w:rsid w:val="14F10FAA"/>
    <w:rsid w:val="156644E7"/>
    <w:rsid w:val="15C61051"/>
    <w:rsid w:val="16B31AD5"/>
    <w:rsid w:val="16F37B36"/>
    <w:rsid w:val="16F83709"/>
    <w:rsid w:val="1702234F"/>
    <w:rsid w:val="17513FBF"/>
    <w:rsid w:val="18364B54"/>
    <w:rsid w:val="189C686D"/>
    <w:rsid w:val="18DE626B"/>
    <w:rsid w:val="19EF0419"/>
    <w:rsid w:val="1A225770"/>
    <w:rsid w:val="1A2D3B01"/>
    <w:rsid w:val="1AD80889"/>
    <w:rsid w:val="1B4F6FB3"/>
    <w:rsid w:val="1B5469AF"/>
    <w:rsid w:val="1C1A58AA"/>
    <w:rsid w:val="1D39247F"/>
    <w:rsid w:val="1D441B3D"/>
    <w:rsid w:val="1D7A2EE8"/>
    <w:rsid w:val="1DAF7A0B"/>
    <w:rsid w:val="1DE81F4D"/>
    <w:rsid w:val="1E7458AC"/>
    <w:rsid w:val="1EDB2EB0"/>
    <w:rsid w:val="205E02FC"/>
    <w:rsid w:val="20ED7D5F"/>
    <w:rsid w:val="20F454D5"/>
    <w:rsid w:val="212B3D49"/>
    <w:rsid w:val="216E3245"/>
    <w:rsid w:val="21CC0838"/>
    <w:rsid w:val="221916B7"/>
    <w:rsid w:val="226E080D"/>
    <w:rsid w:val="22AE771D"/>
    <w:rsid w:val="231C3E29"/>
    <w:rsid w:val="23A6188A"/>
    <w:rsid w:val="23DB2F62"/>
    <w:rsid w:val="24050E23"/>
    <w:rsid w:val="240B41F2"/>
    <w:rsid w:val="24227B6D"/>
    <w:rsid w:val="244C01B2"/>
    <w:rsid w:val="24655125"/>
    <w:rsid w:val="2490178C"/>
    <w:rsid w:val="24A21970"/>
    <w:rsid w:val="24B6415E"/>
    <w:rsid w:val="24EA3120"/>
    <w:rsid w:val="24ED62A3"/>
    <w:rsid w:val="25A115C9"/>
    <w:rsid w:val="25B229B4"/>
    <w:rsid w:val="26DD6079"/>
    <w:rsid w:val="26E179D7"/>
    <w:rsid w:val="26FB19FE"/>
    <w:rsid w:val="272063DE"/>
    <w:rsid w:val="27680FB1"/>
    <w:rsid w:val="279019FD"/>
    <w:rsid w:val="2792259F"/>
    <w:rsid w:val="27ED78CD"/>
    <w:rsid w:val="28A13818"/>
    <w:rsid w:val="28BE433A"/>
    <w:rsid w:val="29874244"/>
    <w:rsid w:val="29E3170A"/>
    <w:rsid w:val="29F35E31"/>
    <w:rsid w:val="29FC3841"/>
    <w:rsid w:val="2A1D6EA4"/>
    <w:rsid w:val="2A485F9A"/>
    <w:rsid w:val="2BE51446"/>
    <w:rsid w:val="2C363DD6"/>
    <w:rsid w:val="2C6170A5"/>
    <w:rsid w:val="2C80668E"/>
    <w:rsid w:val="2CDA6697"/>
    <w:rsid w:val="2D577AED"/>
    <w:rsid w:val="2DFB29FA"/>
    <w:rsid w:val="2EFE1F25"/>
    <w:rsid w:val="2F640B7F"/>
    <w:rsid w:val="2FC5646B"/>
    <w:rsid w:val="303F4AA3"/>
    <w:rsid w:val="30A7160B"/>
    <w:rsid w:val="30A7583E"/>
    <w:rsid w:val="30B76802"/>
    <w:rsid w:val="30FC675C"/>
    <w:rsid w:val="313E0256"/>
    <w:rsid w:val="326170B4"/>
    <w:rsid w:val="32CE66D5"/>
    <w:rsid w:val="32DD76BC"/>
    <w:rsid w:val="33274BE3"/>
    <w:rsid w:val="33517DE2"/>
    <w:rsid w:val="33775828"/>
    <w:rsid w:val="337E4009"/>
    <w:rsid w:val="33924D2A"/>
    <w:rsid w:val="3422185A"/>
    <w:rsid w:val="346241B1"/>
    <w:rsid w:val="34754D20"/>
    <w:rsid w:val="35BA5B31"/>
    <w:rsid w:val="3603722A"/>
    <w:rsid w:val="360D6F99"/>
    <w:rsid w:val="36966290"/>
    <w:rsid w:val="36D33F36"/>
    <w:rsid w:val="37AB1B1C"/>
    <w:rsid w:val="380D3A6D"/>
    <w:rsid w:val="38697646"/>
    <w:rsid w:val="386B671F"/>
    <w:rsid w:val="38A6174A"/>
    <w:rsid w:val="38E158ED"/>
    <w:rsid w:val="394233D9"/>
    <w:rsid w:val="394A0EC1"/>
    <w:rsid w:val="394B7F8C"/>
    <w:rsid w:val="3A166D54"/>
    <w:rsid w:val="3A4B7515"/>
    <w:rsid w:val="3A6072A3"/>
    <w:rsid w:val="3A8874F8"/>
    <w:rsid w:val="3BF5596C"/>
    <w:rsid w:val="3C211CB3"/>
    <w:rsid w:val="3C284EC1"/>
    <w:rsid w:val="3C5F2E1D"/>
    <w:rsid w:val="3D2D265D"/>
    <w:rsid w:val="3D622C7D"/>
    <w:rsid w:val="3D7725E5"/>
    <w:rsid w:val="3E1014DE"/>
    <w:rsid w:val="3E250179"/>
    <w:rsid w:val="3E3F202E"/>
    <w:rsid w:val="3E706050"/>
    <w:rsid w:val="3F0874F8"/>
    <w:rsid w:val="3F253AD3"/>
    <w:rsid w:val="3F3106BC"/>
    <w:rsid w:val="3FE749A5"/>
    <w:rsid w:val="40022F93"/>
    <w:rsid w:val="40784565"/>
    <w:rsid w:val="40AB0497"/>
    <w:rsid w:val="4108486F"/>
    <w:rsid w:val="415B6A48"/>
    <w:rsid w:val="415E79CC"/>
    <w:rsid w:val="4195647D"/>
    <w:rsid w:val="41B6685C"/>
    <w:rsid w:val="41FD2613"/>
    <w:rsid w:val="421263DE"/>
    <w:rsid w:val="43395821"/>
    <w:rsid w:val="440307AF"/>
    <w:rsid w:val="4430746A"/>
    <w:rsid w:val="44716B9D"/>
    <w:rsid w:val="44777A3F"/>
    <w:rsid w:val="455D4659"/>
    <w:rsid w:val="455E6898"/>
    <w:rsid w:val="4561399A"/>
    <w:rsid w:val="45B04463"/>
    <w:rsid w:val="465547AB"/>
    <w:rsid w:val="46DE70D4"/>
    <w:rsid w:val="46E57892"/>
    <w:rsid w:val="47404DB1"/>
    <w:rsid w:val="47B03BA9"/>
    <w:rsid w:val="47C03E43"/>
    <w:rsid w:val="47EF4510"/>
    <w:rsid w:val="48023917"/>
    <w:rsid w:val="48A22238"/>
    <w:rsid w:val="48E43FA6"/>
    <w:rsid w:val="48F54560"/>
    <w:rsid w:val="4A1B6221"/>
    <w:rsid w:val="4AB5641F"/>
    <w:rsid w:val="4ADE33F2"/>
    <w:rsid w:val="4B03749E"/>
    <w:rsid w:val="4B151CBC"/>
    <w:rsid w:val="4B1F1DDB"/>
    <w:rsid w:val="4B827EEF"/>
    <w:rsid w:val="4C4E2CBD"/>
    <w:rsid w:val="4CE37C52"/>
    <w:rsid w:val="4CE95494"/>
    <w:rsid w:val="4D23781E"/>
    <w:rsid w:val="4D784559"/>
    <w:rsid w:val="4D8507BC"/>
    <w:rsid w:val="4DC36FD1"/>
    <w:rsid w:val="4DF83B6F"/>
    <w:rsid w:val="4EA90BA8"/>
    <w:rsid w:val="4EFF0028"/>
    <w:rsid w:val="4F0258ED"/>
    <w:rsid w:val="4F2E47B2"/>
    <w:rsid w:val="4FD029FE"/>
    <w:rsid w:val="4FFF1263"/>
    <w:rsid w:val="50762849"/>
    <w:rsid w:val="51151B76"/>
    <w:rsid w:val="519A53EE"/>
    <w:rsid w:val="525635A3"/>
    <w:rsid w:val="52627BBF"/>
    <w:rsid w:val="52B129B7"/>
    <w:rsid w:val="52E85BEE"/>
    <w:rsid w:val="52F265F3"/>
    <w:rsid w:val="534D2836"/>
    <w:rsid w:val="53813090"/>
    <w:rsid w:val="53A74352"/>
    <w:rsid w:val="54113878"/>
    <w:rsid w:val="54492057"/>
    <w:rsid w:val="552227BC"/>
    <w:rsid w:val="554E1BD6"/>
    <w:rsid w:val="557E669D"/>
    <w:rsid w:val="560826E9"/>
    <w:rsid w:val="573840A5"/>
    <w:rsid w:val="57442DA2"/>
    <w:rsid w:val="57900337"/>
    <w:rsid w:val="57CB3A34"/>
    <w:rsid w:val="58002C23"/>
    <w:rsid w:val="588A1CD2"/>
    <w:rsid w:val="58E95F87"/>
    <w:rsid w:val="59473E05"/>
    <w:rsid w:val="59662975"/>
    <w:rsid w:val="59B057FF"/>
    <w:rsid w:val="59D16BA0"/>
    <w:rsid w:val="5AB36865"/>
    <w:rsid w:val="5B076365"/>
    <w:rsid w:val="5B3326AC"/>
    <w:rsid w:val="5B9F77DD"/>
    <w:rsid w:val="5BC17516"/>
    <w:rsid w:val="5C615C56"/>
    <w:rsid w:val="5C79275A"/>
    <w:rsid w:val="5C9053C8"/>
    <w:rsid w:val="5CF51E42"/>
    <w:rsid w:val="5D02548B"/>
    <w:rsid w:val="5D8E5432"/>
    <w:rsid w:val="5DF45FFB"/>
    <w:rsid w:val="5E047F4B"/>
    <w:rsid w:val="5ECC1F13"/>
    <w:rsid w:val="5F387044"/>
    <w:rsid w:val="5F624D63"/>
    <w:rsid w:val="5FD50FF9"/>
    <w:rsid w:val="60EF4197"/>
    <w:rsid w:val="61604576"/>
    <w:rsid w:val="6225563C"/>
    <w:rsid w:val="6277079A"/>
    <w:rsid w:val="62B35F39"/>
    <w:rsid w:val="634C32FF"/>
    <w:rsid w:val="63867DF9"/>
    <w:rsid w:val="63CF21C3"/>
    <w:rsid w:val="648D1ADE"/>
    <w:rsid w:val="64C70F64"/>
    <w:rsid w:val="659B25C1"/>
    <w:rsid w:val="65A31BCC"/>
    <w:rsid w:val="65B03F69"/>
    <w:rsid w:val="65D43A20"/>
    <w:rsid w:val="663C5554"/>
    <w:rsid w:val="66812F1E"/>
    <w:rsid w:val="6727711F"/>
    <w:rsid w:val="678D07F2"/>
    <w:rsid w:val="67D84962"/>
    <w:rsid w:val="68172955"/>
    <w:rsid w:val="68230C7C"/>
    <w:rsid w:val="69004F74"/>
    <w:rsid w:val="69567AD3"/>
    <w:rsid w:val="6972247D"/>
    <w:rsid w:val="69A302F9"/>
    <w:rsid w:val="69F46D45"/>
    <w:rsid w:val="6A7D7C57"/>
    <w:rsid w:val="6A8C58DC"/>
    <w:rsid w:val="6B3F3181"/>
    <w:rsid w:val="6B5E5C35"/>
    <w:rsid w:val="6B993E15"/>
    <w:rsid w:val="6BFD3201"/>
    <w:rsid w:val="6C236C77"/>
    <w:rsid w:val="6D0709A9"/>
    <w:rsid w:val="6D3B7744"/>
    <w:rsid w:val="6D434B50"/>
    <w:rsid w:val="6D452CC9"/>
    <w:rsid w:val="6D8C14BB"/>
    <w:rsid w:val="6E2C6902"/>
    <w:rsid w:val="6E3E3418"/>
    <w:rsid w:val="6E540211"/>
    <w:rsid w:val="6F105EF0"/>
    <w:rsid w:val="6F607449"/>
    <w:rsid w:val="6FD43436"/>
    <w:rsid w:val="6FF3443A"/>
    <w:rsid w:val="702F681D"/>
    <w:rsid w:val="709527BA"/>
    <w:rsid w:val="712212A8"/>
    <w:rsid w:val="714B22D6"/>
    <w:rsid w:val="71A053FA"/>
    <w:rsid w:val="71F21981"/>
    <w:rsid w:val="72027339"/>
    <w:rsid w:val="721B50C8"/>
    <w:rsid w:val="723E657D"/>
    <w:rsid w:val="72B80E7E"/>
    <w:rsid w:val="72E41419"/>
    <w:rsid w:val="730F0E54"/>
    <w:rsid w:val="73E05929"/>
    <w:rsid w:val="73EE2C6D"/>
    <w:rsid w:val="7402760A"/>
    <w:rsid w:val="748D0583"/>
    <w:rsid w:val="749F7022"/>
    <w:rsid w:val="74A024E4"/>
    <w:rsid w:val="75B514D0"/>
    <w:rsid w:val="75E52B7B"/>
    <w:rsid w:val="761C0F14"/>
    <w:rsid w:val="77A8025E"/>
    <w:rsid w:val="77FB2266"/>
    <w:rsid w:val="78091F66"/>
    <w:rsid w:val="787259C9"/>
    <w:rsid w:val="78FC788A"/>
    <w:rsid w:val="796C6C45"/>
    <w:rsid w:val="7ABD7E42"/>
    <w:rsid w:val="7ADD63A4"/>
    <w:rsid w:val="7B04732D"/>
    <w:rsid w:val="7B5754EB"/>
    <w:rsid w:val="7B955764"/>
    <w:rsid w:val="7CD25303"/>
    <w:rsid w:val="7CE8752B"/>
    <w:rsid w:val="7D436164"/>
    <w:rsid w:val="7D572A32"/>
    <w:rsid w:val="7E3C2D09"/>
    <w:rsid w:val="7E5E415E"/>
    <w:rsid w:val="7E6722D3"/>
    <w:rsid w:val="7EC92082"/>
    <w:rsid w:val="7FE169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Arial" w:hAnsi="Arial" w:eastAsia="Arial" w:cs="Arial"/>
      <w:sz w:val="22"/>
      <w:szCs w:val="22"/>
      <w:lang w:val="en-IN" w:eastAsia="en-GB" w:bidi="ar-SA"/>
    </w:rPr>
  </w:style>
  <w:style w:type="paragraph" w:styleId="2">
    <w:name w:val="heading 1"/>
    <w:basedOn w:val="1"/>
    <w:next w:val="1"/>
    <w:uiPriority w:val="0"/>
    <w:pPr>
      <w:spacing w:before="240" w:after="240"/>
      <w:outlineLvl w:val="0"/>
    </w:pPr>
    <w:rPr>
      <w:b/>
      <w:sz w:val="48"/>
      <w:szCs w:val="48"/>
    </w:rPr>
  </w:style>
  <w:style w:type="paragraph" w:styleId="3">
    <w:name w:val="heading 2"/>
    <w:basedOn w:val="1"/>
    <w:next w:val="1"/>
    <w:qFormat/>
    <w:uiPriority w:val="0"/>
    <w:pPr>
      <w:spacing w:before="225" w:after="225"/>
      <w:outlineLvl w:val="1"/>
    </w:pPr>
    <w:rPr>
      <w:b/>
      <w:sz w:val="36"/>
      <w:szCs w:val="36"/>
    </w:rPr>
  </w:style>
  <w:style w:type="paragraph" w:styleId="4">
    <w:name w:val="heading 3"/>
    <w:basedOn w:val="1"/>
    <w:next w:val="1"/>
    <w:qFormat/>
    <w:uiPriority w:val="0"/>
    <w:pPr>
      <w:spacing w:before="240" w:after="240"/>
      <w:outlineLvl w:val="2"/>
    </w:pPr>
    <w:rPr>
      <w:b/>
      <w:sz w:val="28"/>
      <w:szCs w:val="28"/>
    </w:rPr>
  </w:style>
  <w:style w:type="paragraph" w:styleId="5">
    <w:name w:val="heading 4"/>
    <w:basedOn w:val="1"/>
    <w:next w:val="1"/>
    <w:qFormat/>
    <w:uiPriority w:val="0"/>
    <w:pPr>
      <w:spacing w:before="255" w:after="255"/>
      <w:outlineLvl w:val="3"/>
    </w:pPr>
    <w:rPr>
      <w:b/>
      <w:sz w:val="24"/>
      <w:szCs w:val="24"/>
    </w:rPr>
  </w:style>
  <w:style w:type="paragraph" w:styleId="6">
    <w:name w:val="heading 5"/>
    <w:basedOn w:val="1"/>
    <w:next w:val="1"/>
    <w:qFormat/>
    <w:uiPriority w:val="0"/>
    <w:pPr>
      <w:spacing w:before="255" w:after="255"/>
      <w:outlineLvl w:val="4"/>
    </w:pPr>
    <w:rPr>
      <w:b/>
      <w:sz w:val="18"/>
      <w:szCs w:val="18"/>
    </w:rPr>
  </w:style>
  <w:style w:type="paragraph" w:styleId="7">
    <w:name w:val="heading 6"/>
    <w:basedOn w:val="1"/>
    <w:next w:val="1"/>
    <w:qFormat/>
    <w:uiPriority w:val="0"/>
    <w:pPr>
      <w:spacing w:before="360" w:after="360"/>
      <w:outlineLvl w:val="5"/>
    </w:pPr>
    <w:rPr>
      <w:b/>
      <w:sz w:val="16"/>
      <w:szCs w:val="1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FollowedHyperlink"/>
    <w:basedOn w:val="8"/>
    <w:qFormat/>
    <w:uiPriority w:val="0"/>
    <w:rPr>
      <w:color w:val="800080" w:themeColor="followedHyperlink"/>
      <w:u w:val="single"/>
      <w14:textFill>
        <w14:solidFill>
          <w14:schemeClr w14:val="folHlink"/>
        </w14:solidFill>
      </w14:textFill>
    </w:rPr>
  </w:style>
  <w:style w:type="character" w:styleId="12">
    <w:name w:val="Hyperlink"/>
    <w:basedOn w:val="8"/>
    <w:qFormat/>
    <w:uiPriority w:val="0"/>
    <w:rPr>
      <w:color w:val="0000FF" w:themeColor="hyperlink"/>
      <w:u w:val="single"/>
      <w14:textFill>
        <w14:solidFill>
          <w14:schemeClr w14:val="hlink"/>
        </w14:solidFill>
      </w14:textFill>
    </w:rPr>
  </w:style>
  <w:style w:type="paragraph" w:styleId="13">
    <w:name w:val="Normal (Web)"/>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4">
    <w:name w:val="Strong"/>
    <w:basedOn w:val="8"/>
    <w:qFormat/>
    <w:uiPriority w:val="22"/>
    <w:rPr>
      <w:b/>
      <w:bCs/>
    </w:rPr>
  </w:style>
  <w:style w:type="paragraph" w:styleId="15">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16">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qFormat/>
    <w:uiPriority w:val="0"/>
    <w:pPr>
      <w:keepNext/>
      <w:keepLines/>
      <w:spacing w:before="480" w:after="120"/>
    </w:pPr>
    <w:rPr>
      <w:b/>
      <w:sz w:val="72"/>
      <w:szCs w:val="72"/>
    </w:rPr>
  </w:style>
  <w:style w:type="table" w:customStyle="1" w:styleId="18">
    <w:name w:val="Table Normal1"/>
    <w:qFormat/>
    <w:uiPriority w:val="0"/>
    <w:tblPr>
      <w:tblCellMar>
        <w:top w:w="0" w:type="dxa"/>
        <w:left w:w="0" w:type="dxa"/>
        <w:bottom w:w="0" w:type="dxa"/>
        <w:right w:w="0" w:type="dxa"/>
      </w:tblCellMar>
    </w:tblPr>
  </w:style>
  <w:style w:type="character" w:customStyle="1" w:styleId="19">
    <w:name w:val="Unresolved Mention"/>
    <w:basedOn w:val="8"/>
    <w:semiHidden/>
    <w:unhideWhenUsed/>
    <w:qFormat/>
    <w:uiPriority w:val="99"/>
    <w:rPr>
      <w:color w:val="605E5C"/>
      <w:shd w:val="clear" w:color="auto" w:fill="E1DFDD"/>
    </w:rPr>
  </w:style>
  <w:style w:type="paragraph" w:styleId="20">
    <w:name w:val="List Paragraph"/>
    <w:basedOn w:val="1"/>
    <w:unhideWhenUsed/>
    <w:qFormat/>
    <w:uiPriority w:val="99"/>
    <w:pPr>
      <w:ind w:left="720"/>
      <w:contextualSpacing/>
    </w:pPr>
  </w:style>
  <w:style w:type="character" w:customStyle="1" w:styleId="21">
    <w:name w:val="overflow-hidden"/>
    <w:basedOn w:val="8"/>
    <w:qFormat/>
    <w:uiPriority w:val="0"/>
  </w:style>
  <w:style w:type="table" w:customStyle="1" w:styleId="22">
    <w:name w:val="Grid Table Light"/>
    <w:basedOn w:val="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18</Pages>
  <Words>3170</Words>
  <Characters>18071</Characters>
  <Lines>150</Lines>
  <Paragraphs>42</Paragraphs>
  <TotalTime>74</TotalTime>
  <ScaleCrop>false</ScaleCrop>
  <LinksUpToDate>false</LinksUpToDate>
  <CharactersWithSpaces>21199</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2025-05-22T18:17:00Z</dcterms:created>
  <dc:creator>ASUS</dc:creator>
  <cp:lastModifiedBy>WPS_1717354096</cp:lastModifiedBy>
  <dcterms:modified xsi:type="dcterms:W3CDTF">2025-05-30T00:10:05Z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2057-12.2.0.21183</vt:lpwstr>
  </property>
  <property fmtid="{D5CDD505-2E9C-101B-9397-08002B2CF9AE}" pid="3" name="ICV">
    <vt:lpwstr>768EB9D10C5B446D8E232A56FE7D17D7_12</vt:lpwstr>
  </property>
</Properties>
</file>