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BITÁCORAS DE DECISIONES - MIRA</w:t>
      </w:r>
    </w:p>
    <w:p>
      <w:pPr>
        <w:jc w:val="center"/>
      </w:pPr>
      <w:r>
        <w:rPr>
          <w:i/>
          <w:sz w:val="24"/>
        </w:rPr>
        <w:t>Plataforma de Inteligencia Multimodal para Decisiones Empresariales</w:t>
      </w:r>
    </w:p>
    <w:p>
      <w:pPr>
        <w:jc w:val="center"/>
      </w:pPr>
      <w:r>
        <w:t>Representante del Cliente (Aseguradora Piloto)</w:t>
      </w:r>
    </w:p>
    <w:p/>
    <w:p>
      <w:pPr>
        <w:pStyle w:val="Heading2"/>
      </w:pPr>
      <w:r>
        <w:t>BITÁCORA 1: Retención de Evidencia</w:t>
      </w:r>
    </w:p>
    <w:tbl>
      <w:tblPr>
        <w:tblStyle w:val="TableGrid"/>
        <w:tblW w:type="auto" w:w="0"/>
        <w:tblLook w:firstColumn="1" w:firstRow="1" w:lastColumn="0" w:lastRow="0" w:noHBand="0" w:noVBand="1" w:val="04A0"/>
      </w:tblPr>
      <w:tblGrid>
        <w:gridCol w:w="4320"/>
        <w:gridCol w:w="4320"/>
      </w:tblGrid>
      <w:tr>
        <w:tc>
          <w:tcPr>
            <w:tcW w:type="dxa" w:w="2160"/>
            <w:shd w:fill="1F4E78"/>
          </w:tcPr>
          <w:p>
            <w:r>
              <w:rPr>
                <w:b/>
                <w:color w:val="FFFFFF"/>
              </w:rPr>
              <w:t>ID</w:t>
            </w:r>
          </w:p>
        </w:tc>
        <w:tc>
          <w:tcPr>
            <w:tcW w:type="dxa" w:w="6480"/>
          </w:tcPr>
          <w:p>
            <w:pPr>
              <w:jc w:val="left"/>
            </w:pPr>
            <w:r>
              <w:rPr>
                <w:sz w:val="20"/>
              </w:rPr>
              <w:t>DEC-01</w:t>
            </w:r>
          </w:p>
        </w:tc>
      </w:tr>
      <w:tr>
        <w:tc>
          <w:tcPr>
            <w:tcW w:type="dxa" w:w="2160"/>
            <w:shd w:fill="1F4E78"/>
          </w:tcPr>
          <w:p>
            <w:r>
              <w:rPr>
                <w:b/>
                <w:color w:val="FFFFFF"/>
              </w:rPr>
              <w:t>Fecha</w:t>
            </w:r>
          </w:p>
        </w:tc>
        <w:tc>
          <w:tcPr>
            <w:tcW w:type="dxa" w:w="6480"/>
          </w:tcPr>
          <w:p>
            <w:pPr>
              <w:jc w:val="left"/>
            </w:pPr>
            <w:r>
              <w:rPr>
                <w:sz w:val="20"/>
              </w:rPr>
              <w:t>28-08-2026</w:t>
            </w:r>
          </w:p>
        </w:tc>
      </w:tr>
      <w:tr>
        <w:tc>
          <w:tcPr>
            <w:tcW w:type="dxa" w:w="2160"/>
            <w:shd w:fill="1F4E78"/>
          </w:tcPr>
          <w:p>
            <w:r>
              <w:rPr>
                <w:b/>
                <w:color w:val="FFFFFF"/>
              </w:rPr>
              <w:t>Asunto</w:t>
            </w:r>
          </w:p>
        </w:tc>
        <w:tc>
          <w:tcPr>
            <w:tcW w:type="dxa" w:w="6480"/>
          </w:tcPr>
          <w:p>
            <w:pPr>
              <w:jc w:val="left"/>
            </w:pPr>
            <w:r>
              <w:rPr>
                <w:sz w:val="20"/>
              </w:rPr>
              <w:t>Período de retención de evidencia digital en la plataforma</w:t>
            </w:r>
          </w:p>
        </w:tc>
      </w:tr>
      <w:tr>
        <w:tc>
          <w:tcPr>
            <w:tcW w:type="dxa" w:w="2160"/>
            <w:shd w:fill="1F4E78"/>
          </w:tcPr>
          <w:p>
            <w:r>
              <w:rPr>
                <w:b/>
                <w:color w:val="FFFFFF"/>
              </w:rPr>
              <w:t>Contexto</w:t>
            </w:r>
          </w:p>
        </w:tc>
        <w:tc>
          <w:tcPr>
            <w:tcW w:type="dxa" w:w="6480"/>
          </w:tcPr>
          <w:p>
            <w:pPr>
              <w:jc w:val="left"/>
            </w:pPr>
            <w:r>
              <w:rPr>
                <w:sz w:val="20"/>
              </w:rPr>
              <w:t>La Dirección de Producto de DPRIME establece retención de 90 días como estándar (Cap 2.11). El cliente piloto requiere conservar evidencia entre 5 y 10 años según obligaciones contractuales y regulatorias. Esta contradicción pone en riesgo la viabilidad legal del contrato.</w:t>
            </w:r>
          </w:p>
        </w:tc>
      </w:tr>
      <w:tr>
        <w:tc>
          <w:tcPr>
            <w:tcW w:type="dxa" w:w="2160"/>
            <w:shd w:fill="1F4E78"/>
          </w:tcPr>
          <w:p>
            <w:r>
              <w:rPr>
                <w:b/>
                <w:color w:val="FFFFFF"/>
              </w:rPr>
              <w:t>Alternativas</w:t>
            </w:r>
          </w:p>
        </w:tc>
        <w:tc>
          <w:tcPr>
            <w:tcW w:type="dxa" w:w="6480"/>
          </w:tcPr>
          <w:p>
            <w:pPr>
              <w:jc w:val="left"/>
            </w:pPr>
            <w:r>
              <w:rPr>
                <w:sz w:val="20"/>
              </w:rPr>
              <w:t>(a) Retención de 90 días (eliminación automática de evidencia).</w:t>
              <w:br/>
              <w:t>(b) Retención de 5 años como mínimo (estándar de mercado asegurador).</w:t>
              <w:br/>
              <w:t>(c) Retención indefinida con opción de anonimización.</w:t>
            </w:r>
          </w:p>
        </w:tc>
      </w:tr>
      <w:tr>
        <w:tc>
          <w:tcPr>
            <w:tcW w:type="dxa" w:w="2160"/>
            <w:shd w:fill="1F4E78"/>
          </w:tcPr>
          <w:p>
            <w:r>
              <w:rPr>
                <w:b/>
                <w:color w:val="FFFFFF"/>
              </w:rPr>
              <w:t>Decisión</w:t>
            </w:r>
          </w:p>
        </w:tc>
        <w:tc>
          <w:tcPr>
            <w:tcW w:type="dxa" w:w="6480"/>
          </w:tcPr>
          <w:p>
            <w:pPr>
              <w:jc w:val="left"/>
            </w:pPr>
            <w:r>
              <w:rPr>
                <w:sz w:val="20"/>
              </w:rPr>
              <w:t>Se adopta (b): retención de 5 años mínimo. El cliente requiere poder demostrar ante auditoría regulatoria el expediente completo de decisiones pasadas. La plataforma conservará la evidencia cifrada, con eliminación automática solo tras autorización expresa del cliente o cumplimiento de normativa.</w:t>
            </w:r>
          </w:p>
        </w:tc>
      </w:tr>
      <w:tr>
        <w:tc>
          <w:tcPr>
            <w:tcW w:type="dxa" w:w="2160"/>
            <w:shd w:fill="1F4E78"/>
          </w:tcPr>
          <w:p>
            <w:r>
              <w:rPr>
                <w:b/>
                <w:color w:val="FFFFFF"/>
              </w:rPr>
              <w:t>Justificación</w:t>
            </w:r>
          </w:p>
        </w:tc>
        <w:tc>
          <w:tcPr>
            <w:tcW w:type="dxa" w:w="6480"/>
          </w:tcPr>
          <w:p>
            <w:pPr>
              <w:jc w:val="left"/>
            </w:pPr>
            <w:r>
              <w:rPr>
                <w:sz w:val="20"/>
              </w:rPr>
              <w:t>La retención prolongada de evidencia es un requisito legal no negociable en operaciones aseguradoras y financieras. Los 90 días propuestos son insuficientes para defensa legal y auditoría. Establece precedente para otros clientes regulados.</w:t>
            </w:r>
          </w:p>
        </w:tc>
      </w:tr>
      <w:tr>
        <w:tc>
          <w:tcPr>
            <w:tcW w:type="dxa" w:w="2160"/>
            <w:shd w:fill="1F4E78"/>
          </w:tcPr>
          <w:p>
            <w:r>
              <w:rPr>
                <w:b/>
                <w:color w:val="FFFFFF"/>
              </w:rPr>
              <w:t>Impacto</w:t>
            </w:r>
          </w:p>
        </w:tc>
        <w:tc>
          <w:tcPr>
            <w:tcW w:type="dxa" w:w="6480"/>
          </w:tcPr>
          <w:p>
            <w:pPr>
              <w:jc w:val="left"/>
            </w:pPr>
            <w:r>
              <w:rPr>
                <w:sz w:val="20"/>
              </w:rPr>
              <w:t>Impacta arquitectura de almacenamiento: mayor consumo de infraestructura cloud, políticas de backup más estrictas, seguridad de acceso. Requiere cifrado de datos en reposo robusto. Costo mensual estimado +15-20% en infraestructura de almacenamiento.</w:t>
            </w:r>
          </w:p>
        </w:tc>
      </w:tr>
      <w:tr>
        <w:tc>
          <w:tcPr>
            <w:tcW w:type="dxa" w:w="2160"/>
          </w:tcPr>
          <w:p/>
        </w:tc>
        <w:tc>
          <w:tcPr>
            <w:tcW w:type="dxa" w:w="6480"/>
          </w:tcPr>
          <w:p/>
        </w:tc>
      </w:tr>
    </w:tbl>
    <w:p>
      <w:r>
        <w:br w:type="page"/>
      </w:r>
    </w:p>
    <w:p>
      <w:pPr>
        <w:pStyle w:val="Heading2"/>
      </w:pPr>
      <w:r>
        <w:t>BITÁCORA 2: Definición de Validación Cobrable</w:t>
      </w:r>
    </w:p>
    <w:tbl>
      <w:tblPr>
        <w:tblStyle w:val="TableGrid"/>
        <w:tblW w:type="auto" w:w="0"/>
        <w:tblLook w:firstColumn="1" w:firstRow="1" w:lastColumn="0" w:lastRow="0" w:noHBand="0" w:noVBand="1" w:val="04A0"/>
      </w:tblPr>
      <w:tblGrid>
        <w:gridCol w:w="4320"/>
        <w:gridCol w:w="4320"/>
      </w:tblGrid>
      <w:tr>
        <w:tc>
          <w:tcPr>
            <w:tcW w:type="dxa" w:w="2160"/>
            <w:shd w:fill="1F4E78"/>
          </w:tcPr>
          <w:p>
            <w:r>
              <w:rPr>
                <w:b/>
                <w:color w:val="FFFFFF"/>
              </w:rPr>
              <w:t>ID</w:t>
            </w:r>
          </w:p>
        </w:tc>
        <w:tc>
          <w:tcPr>
            <w:tcW w:type="dxa" w:w="6480"/>
          </w:tcPr>
          <w:p>
            <w:pPr>
              <w:jc w:val="left"/>
            </w:pPr>
            <w:r>
              <w:rPr>
                <w:sz w:val="20"/>
              </w:rPr>
              <w:t>DEC-02</w:t>
            </w:r>
          </w:p>
        </w:tc>
      </w:tr>
      <w:tr>
        <w:tc>
          <w:tcPr>
            <w:tcW w:type="dxa" w:w="2160"/>
            <w:shd w:fill="1F4E78"/>
          </w:tcPr>
          <w:p>
            <w:r>
              <w:rPr>
                <w:b/>
                <w:color w:val="FFFFFF"/>
              </w:rPr>
              <w:t>Fecha</w:t>
            </w:r>
          </w:p>
        </w:tc>
        <w:tc>
          <w:tcPr>
            <w:tcW w:type="dxa" w:w="6480"/>
          </w:tcPr>
          <w:p>
            <w:pPr>
              <w:jc w:val="left"/>
            </w:pPr>
            <w:r>
              <w:rPr>
                <w:sz w:val="20"/>
              </w:rPr>
              <w:t>28-08-2026</w:t>
            </w:r>
          </w:p>
        </w:tc>
      </w:tr>
      <w:tr>
        <w:tc>
          <w:tcPr>
            <w:tcW w:type="dxa" w:w="2160"/>
            <w:shd w:fill="1F4E78"/>
          </w:tcPr>
          <w:p>
            <w:r>
              <w:rPr>
                <w:b/>
                <w:color w:val="FFFFFF"/>
              </w:rPr>
              <w:t>Asunto</w:t>
            </w:r>
          </w:p>
        </w:tc>
        <w:tc>
          <w:tcPr>
            <w:tcW w:type="dxa" w:w="6480"/>
          </w:tcPr>
          <w:p>
            <w:pPr>
              <w:jc w:val="left"/>
            </w:pPr>
            <w:r>
              <w:rPr>
                <w:sz w:val="20"/>
              </w:rPr>
              <w:t>Definición operativa de qué constituye una 'validación' para efectos de facturación</w:t>
            </w:r>
          </w:p>
        </w:tc>
      </w:tr>
      <w:tr>
        <w:tc>
          <w:tcPr>
            <w:tcW w:type="dxa" w:w="2160"/>
            <w:shd w:fill="1F4E78"/>
          </w:tcPr>
          <w:p>
            <w:r>
              <w:rPr>
                <w:b/>
                <w:color w:val="FFFFFF"/>
              </w:rPr>
              <w:t>Contexto</w:t>
            </w:r>
          </w:p>
        </w:tc>
        <w:tc>
          <w:tcPr>
            <w:tcW w:type="dxa" w:w="6480"/>
          </w:tcPr>
          <w:p>
            <w:pPr>
              <w:jc w:val="left"/>
            </w:pPr>
            <w:r>
              <w:rPr>
                <w:sz w:val="20"/>
              </w:rPr>
              <w:t>Existe desalineación crítica entre Finanzas (Valentina) que entiende validación como solo decisión automática, Gerencia (Rodrigo) que la ve como todo procesamiento, y Dirección de Producto que agrega criterio de 'utilidad y conclusión'. El cliente piloto maneja 12.000 casos/mes con 60% en derivación humana. La diferencia entre interpretaciones representa diferencia en ingresos del 40-50%.</w:t>
            </w:r>
          </w:p>
        </w:tc>
      </w:tr>
      <w:tr>
        <w:tc>
          <w:tcPr>
            <w:tcW w:type="dxa" w:w="2160"/>
            <w:shd w:fill="1F4E78"/>
          </w:tcPr>
          <w:p>
            <w:r>
              <w:rPr>
                <w:b/>
                <w:color w:val="FFFFFF"/>
              </w:rPr>
              <w:t>Alternativas</w:t>
            </w:r>
          </w:p>
        </w:tc>
        <w:tc>
          <w:tcPr>
            <w:tcW w:type="dxa" w:w="6480"/>
          </w:tcPr>
          <w:p>
            <w:pPr>
              <w:jc w:val="left"/>
            </w:pPr>
            <w:r>
              <w:rPr>
                <w:sz w:val="20"/>
              </w:rPr>
              <w:t>(a) Validación = solo decisiones automáticas aprobadas/rechazadas sin intervención.</w:t>
              <w:br/>
              <w:t>(b) Validación = todo procesamiento donde se entregó análisis, incluyendo derivaciones.</w:t>
              <w:br/>
              <w:t>(c) Validación = decisiones automáticas + decisiones asistidas cuando el operador acepta sugerencia.</w:t>
              <w:br/>
              <w:t>(d) Validación = casos procesados exitosamente (excluyendo errores por evidencia ilegible).</w:t>
            </w:r>
          </w:p>
        </w:tc>
      </w:tr>
      <w:tr>
        <w:tc>
          <w:tcPr>
            <w:tcW w:type="dxa" w:w="2160"/>
            <w:shd w:fill="1F4E78"/>
          </w:tcPr>
          <w:p>
            <w:r>
              <w:rPr>
                <w:b/>
                <w:color w:val="FFFFFF"/>
              </w:rPr>
              <w:t>Decisión</w:t>
            </w:r>
          </w:p>
        </w:tc>
        <w:tc>
          <w:tcPr>
            <w:tcW w:type="dxa" w:w="6480"/>
          </w:tcPr>
          <w:p>
            <w:pPr>
              <w:jc w:val="left"/>
            </w:pPr>
            <w:r>
              <w:rPr>
                <w:sz w:val="20"/>
              </w:rPr>
              <w:t>Se adopta (d) con refinamiento: Validación = caso procesado exitosamente donde la plataforma entregó resultado con puntaje y desglose de señales, independientemente de si fue decisión automática, derivación o rechazo. NO se cobra: casos con evidencia ilegible/no procesable. Será responsabilidad del área de Producto + Finanzas definir reglas específicas por tipo de resultado ANTES de implementar módulo de consumo.</w:t>
            </w:r>
          </w:p>
        </w:tc>
      </w:tr>
      <w:tr>
        <w:tc>
          <w:tcPr>
            <w:tcW w:type="dxa" w:w="2160"/>
            <w:shd w:fill="1F4E78"/>
          </w:tcPr>
          <w:p>
            <w:r>
              <w:rPr>
                <w:b/>
                <w:color w:val="FFFFFF"/>
              </w:rPr>
              <w:t>Justificación</w:t>
            </w:r>
          </w:p>
        </w:tc>
        <w:tc>
          <w:tcPr>
            <w:tcW w:type="dxa" w:w="6480"/>
          </w:tcPr>
          <w:p>
            <w:pPr>
              <w:jc w:val="left"/>
            </w:pPr>
            <w:r>
              <w:rPr>
                <w:sz w:val="20"/>
              </w:rPr>
              <w:t>El contrato comercial firmado dice 'decisión automática' pero el Gerente General necesita modelo sostenible considerando costo de procesamiento. Esta decisión busca punto medio: se reconoce trabajo de análisis pero se excluyen fallos. Protege ingresos de DPRIME sin violar promesa comercial de cliente.</w:t>
            </w:r>
          </w:p>
        </w:tc>
      </w:tr>
      <w:tr>
        <w:tc>
          <w:tcPr>
            <w:tcW w:type="dxa" w:w="2160"/>
            <w:shd w:fill="1F4E78"/>
          </w:tcPr>
          <w:p>
            <w:r>
              <w:rPr>
                <w:b/>
                <w:color w:val="FFFFFF"/>
              </w:rPr>
              <w:t>Impacto</w:t>
            </w:r>
          </w:p>
        </w:tc>
        <w:tc>
          <w:tcPr>
            <w:tcW w:type="dxa" w:w="6480"/>
          </w:tcPr>
          <w:p>
            <w:pPr>
              <w:jc w:val="left"/>
            </w:pPr>
            <w:r>
              <w:rPr>
                <w:sz w:val="20"/>
              </w:rPr>
              <w:t>Crítico para facturación automática. Requiere: (1) definición escrita con Legal y Finanzas antes de Entrega 2 (mediados dic). (2) Módulo de consumo debe contar con precisión caso a caso. (3) Dashboard transparent para cliente vea mismo contador que factura. Riesgo: si no se define antes de marcha blanca, primera factura generará disputa contractual.</w:t>
            </w:r>
          </w:p>
        </w:tc>
      </w:tr>
      <w:tr>
        <w:tc>
          <w:tcPr>
            <w:tcW w:type="dxa" w:w="2160"/>
          </w:tcPr>
          <w:p/>
        </w:tc>
        <w:tc>
          <w:tcPr>
            <w:tcW w:type="dxa" w:w="6480"/>
          </w:tcPr>
          <w:p/>
        </w:tc>
      </w:tr>
    </w:tbl>
    <w:p>
      <w:r>
        <w:br w:type="page"/>
      </w:r>
    </w:p>
    <w:p>
      <w:pPr>
        <w:pStyle w:val="Heading2"/>
      </w:pPr>
      <w:r>
        <w:t>BITÁCORA 3: Visualización del Puntaje de Confianza</w:t>
      </w:r>
    </w:p>
    <w:tbl>
      <w:tblPr>
        <w:tblStyle w:val="TableGrid"/>
        <w:tblW w:type="auto" w:w="0"/>
        <w:tblLook w:firstColumn="1" w:firstRow="1" w:lastColumn="0" w:lastRow="0" w:noHBand="0" w:noVBand="1" w:val="04A0"/>
      </w:tblPr>
      <w:tblGrid>
        <w:gridCol w:w="4320"/>
        <w:gridCol w:w="4320"/>
      </w:tblGrid>
      <w:tr>
        <w:tc>
          <w:tcPr>
            <w:tcW w:type="dxa" w:w="2160"/>
            <w:shd w:fill="1F4E78"/>
          </w:tcPr>
          <w:p>
            <w:r>
              <w:rPr>
                <w:b/>
                <w:color w:val="FFFFFF"/>
              </w:rPr>
              <w:t>ID</w:t>
            </w:r>
          </w:p>
        </w:tc>
        <w:tc>
          <w:tcPr>
            <w:tcW w:type="dxa" w:w="6480"/>
          </w:tcPr>
          <w:p>
            <w:pPr>
              <w:jc w:val="left"/>
            </w:pPr>
            <w:r>
              <w:rPr>
                <w:sz w:val="20"/>
              </w:rPr>
              <w:t>DEC-03</w:t>
            </w:r>
          </w:p>
        </w:tc>
      </w:tr>
      <w:tr>
        <w:tc>
          <w:tcPr>
            <w:tcW w:type="dxa" w:w="2160"/>
            <w:shd w:fill="1F4E78"/>
          </w:tcPr>
          <w:p>
            <w:r>
              <w:rPr>
                <w:b/>
                <w:color w:val="FFFFFF"/>
              </w:rPr>
              <w:t>Fecha</w:t>
            </w:r>
          </w:p>
        </w:tc>
        <w:tc>
          <w:tcPr>
            <w:tcW w:type="dxa" w:w="6480"/>
          </w:tcPr>
          <w:p>
            <w:pPr>
              <w:jc w:val="left"/>
            </w:pPr>
            <w:r>
              <w:rPr>
                <w:sz w:val="20"/>
              </w:rPr>
              <w:t>28-08-2026</w:t>
            </w:r>
          </w:p>
        </w:tc>
      </w:tr>
      <w:tr>
        <w:tc>
          <w:tcPr>
            <w:tcW w:type="dxa" w:w="2160"/>
            <w:shd w:fill="1F4E78"/>
          </w:tcPr>
          <w:p>
            <w:r>
              <w:rPr>
                <w:b/>
                <w:color w:val="FFFFFF"/>
              </w:rPr>
              <w:t>Asunto</w:t>
            </w:r>
          </w:p>
        </w:tc>
        <w:tc>
          <w:tcPr>
            <w:tcW w:type="dxa" w:w="6480"/>
          </w:tcPr>
          <w:p>
            <w:pPr>
              <w:jc w:val="left"/>
            </w:pPr>
            <w:r>
              <w:rPr>
                <w:sz w:val="20"/>
              </w:rPr>
              <w:t>Orden de presentación del puntaje en interfaz de revisión asistida</w:t>
            </w:r>
          </w:p>
        </w:tc>
      </w:tr>
      <w:tr>
        <w:tc>
          <w:tcPr>
            <w:tcW w:type="dxa" w:w="2160"/>
            <w:shd w:fill="1F4E78"/>
          </w:tcPr>
          <w:p>
            <w:r>
              <w:rPr>
                <w:b/>
                <w:color w:val="FFFFFF"/>
              </w:rPr>
              <w:t>Contexto</w:t>
            </w:r>
          </w:p>
        </w:tc>
        <w:tc>
          <w:tcPr>
            <w:tcW w:type="dxa" w:w="6480"/>
          </w:tcPr>
          <w:p>
            <w:pPr>
              <w:jc w:val="left"/>
            </w:pPr>
            <w:r>
              <w:rPr>
                <w:sz w:val="20"/>
              </w:rPr>
              <w:t>El documento de Producto especifica que 'puntaje se acompaña de componentes' (Cap 2.6). Marco Peñailillo (liquidador, usuario real) reporta que ver el puntaje primero genera sesgo: 'si me muestran 87, ya estoy inclinado a aprobar'. Propone verlo al final, después de evidencia y alertas. Esto afecta la precisión de decisiones humanas.</w:t>
            </w:r>
          </w:p>
        </w:tc>
      </w:tr>
      <w:tr>
        <w:tc>
          <w:tcPr>
            <w:tcW w:type="dxa" w:w="2160"/>
            <w:shd w:fill="1F4E78"/>
          </w:tcPr>
          <w:p>
            <w:r>
              <w:rPr>
                <w:b/>
                <w:color w:val="FFFFFF"/>
              </w:rPr>
              <w:t>Alternativas</w:t>
            </w:r>
          </w:p>
        </w:tc>
        <w:tc>
          <w:tcPr>
            <w:tcW w:type="dxa" w:w="6480"/>
          </w:tcPr>
          <w:p>
            <w:pPr>
              <w:jc w:val="left"/>
            </w:pPr>
            <w:r>
              <w:rPr>
                <w:sz w:val="20"/>
              </w:rPr>
              <w:t>(a) Mostrar puntaje al inicio, seguido de desglose (como aparece hoy en demo).</w:t>
              <w:br/>
              <w:t>(b) Mostrar solo evidencia y alertas, puntaje al final como resumen.</w:t>
              <w:br/>
              <w:t>(c) No mostrar puntaje numérico, solo indicador visual (rojo/amarillo/verde).</w:t>
            </w:r>
          </w:p>
        </w:tc>
      </w:tr>
      <w:tr>
        <w:tc>
          <w:tcPr>
            <w:tcW w:type="dxa" w:w="2160"/>
            <w:shd w:fill="1F4E78"/>
          </w:tcPr>
          <w:p>
            <w:r>
              <w:rPr>
                <w:b/>
                <w:color w:val="FFFFFF"/>
              </w:rPr>
              <w:t>Decisión</w:t>
            </w:r>
          </w:p>
        </w:tc>
        <w:tc>
          <w:tcPr>
            <w:tcW w:type="dxa" w:w="6480"/>
          </w:tcPr>
          <w:p>
            <w:pPr>
              <w:jc w:val="left"/>
            </w:pPr>
            <w:r>
              <w:rPr>
                <w:sz w:val="20"/>
              </w:rPr>
              <w:t>Se adopta (b): en bandeja de revisión asistida, mostrar primero evidencia procesada con campos identificados, luego alertas/señales de fraude en rojo. El puntaje y sus componentes aparecen al final, DESPUÉS que el operador ha formado su criterio. Esto reduce sesgos de anclamiento.</w:t>
            </w:r>
          </w:p>
        </w:tc>
      </w:tr>
      <w:tr>
        <w:tc>
          <w:tcPr>
            <w:tcW w:type="dxa" w:w="2160"/>
            <w:shd w:fill="1F4E78"/>
          </w:tcPr>
          <w:p>
            <w:r>
              <w:rPr>
                <w:b/>
                <w:color w:val="FFFFFF"/>
              </w:rPr>
              <w:t>Justificación</w:t>
            </w:r>
          </w:p>
        </w:tc>
        <w:tc>
          <w:tcPr>
            <w:tcW w:type="dxa" w:w="6480"/>
          </w:tcPr>
          <w:p>
            <w:pPr>
              <w:jc w:val="left"/>
            </w:pPr>
            <w:r>
              <w:rPr>
                <w:sz w:val="20"/>
              </w:rPr>
              <w:t>Precisión de decisiones humanas es crítica en contexto regulatorio. Un operador que confía en número en lugar de evidencia invalida el valor de la intervención humana. El cliente apunta a que control humano sea 'significativo' (requisito legal), no cosmético. Esta orden de presentación refuerza genuinidad del análisis humano.</w:t>
            </w:r>
          </w:p>
        </w:tc>
      </w:tr>
      <w:tr>
        <w:tc>
          <w:tcPr>
            <w:tcW w:type="dxa" w:w="2160"/>
            <w:shd w:fill="1F4E78"/>
          </w:tcPr>
          <w:p>
            <w:r>
              <w:rPr>
                <w:b/>
                <w:color w:val="FFFFFF"/>
              </w:rPr>
              <w:t>Impacto</w:t>
            </w:r>
          </w:p>
        </w:tc>
        <w:tc>
          <w:tcPr>
            <w:tcW w:type="dxa" w:w="6480"/>
          </w:tcPr>
          <w:p>
            <w:pPr>
              <w:jc w:val="left"/>
            </w:pPr>
            <w:r>
              <w:rPr>
                <w:sz w:val="20"/>
              </w:rPr>
              <w:t>Impacto en UX: requiere rediseño de pantalla de revisión (Entrega 3, feb 2027). Cambio menor en lógica de presentación, mayor en impacto operativo. Cliente estima que decisiones erradas bajarán 5-8% con este cambio. Requiere testing con operadores antes de desplegar.</w:t>
            </w:r>
          </w:p>
        </w:tc>
      </w:tr>
      <w:tr>
        <w:tc>
          <w:tcPr>
            <w:tcW w:type="dxa" w:w="2160"/>
          </w:tcPr>
          <w:p/>
        </w:tc>
        <w:tc>
          <w:tcPr>
            <w:tcW w:type="dxa" w:w="6480"/>
          </w:tcPr>
          <w:p/>
        </w:tc>
      </w:tr>
    </w:tbl>
    <w:p>
      <w:r>
        <w:br w:type="page"/>
      </w:r>
    </w:p>
    <w:p>
      <w:pPr>
        <w:pStyle w:val="Heading2"/>
      </w:pPr>
      <w:r>
        <w:t>BITÁCORA 4: Valores por Defecto de Umbrales</w:t>
      </w:r>
    </w:p>
    <w:tbl>
      <w:tblPr>
        <w:tblStyle w:val="TableGrid"/>
        <w:tblW w:type="auto" w:w="0"/>
        <w:tblLook w:firstColumn="1" w:firstRow="1" w:lastColumn="0" w:lastRow="0" w:noHBand="0" w:noVBand="1" w:val="04A0"/>
      </w:tblPr>
      <w:tblGrid>
        <w:gridCol w:w="4320"/>
        <w:gridCol w:w="4320"/>
      </w:tblGrid>
      <w:tr>
        <w:tc>
          <w:tcPr>
            <w:tcW w:type="dxa" w:w="2160"/>
            <w:shd w:fill="1F4E78"/>
          </w:tcPr>
          <w:p>
            <w:r>
              <w:rPr>
                <w:b/>
                <w:color w:val="FFFFFF"/>
              </w:rPr>
              <w:t>ID</w:t>
            </w:r>
          </w:p>
        </w:tc>
        <w:tc>
          <w:tcPr>
            <w:tcW w:type="dxa" w:w="6480"/>
          </w:tcPr>
          <w:p>
            <w:pPr>
              <w:jc w:val="left"/>
            </w:pPr>
            <w:r>
              <w:rPr>
                <w:sz w:val="20"/>
              </w:rPr>
              <w:t>DEC-04</w:t>
            </w:r>
          </w:p>
        </w:tc>
      </w:tr>
      <w:tr>
        <w:tc>
          <w:tcPr>
            <w:tcW w:type="dxa" w:w="2160"/>
            <w:shd w:fill="1F4E78"/>
          </w:tcPr>
          <w:p>
            <w:r>
              <w:rPr>
                <w:b/>
                <w:color w:val="FFFFFF"/>
              </w:rPr>
              <w:t>Fecha</w:t>
            </w:r>
          </w:p>
        </w:tc>
        <w:tc>
          <w:tcPr>
            <w:tcW w:type="dxa" w:w="6480"/>
          </w:tcPr>
          <w:p>
            <w:pPr>
              <w:jc w:val="left"/>
            </w:pPr>
            <w:r>
              <w:rPr>
                <w:sz w:val="20"/>
              </w:rPr>
              <w:t>28-08-2026</w:t>
            </w:r>
          </w:p>
        </w:tc>
      </w:tr>
      <w:tr>
        <w:tc>
          <w:tcPr>
            <w:tcW w:type="dxa" w:w="2160"/>
            <w:shd w:fill="1F4E78"/>
          </w:tcPr>
          <w:p>
            <w:r>
              <w:rPr>
                <w:b/>
                <w:color w:val="FFFFFF"/>
              </w:rPr>
              <w:t>Asunto</w:t>
            </w:r>
          </w:p>
        </w:tc>
        <w:tc>
          <w:tcPr>
            <w:tcW w:type="dxa" w:w="6480"/>
          </w:tcPr>
          <w:p>
            <w:pPr>
              <w:jc w:val="left"/>
            </w:pPr>
            <w:r>
              <w:rPr>
                <w:sz w:val="20"/>
              </w:rPr>
              <w:t>Valores de referencia para umbrales de decisión automática</w:t>
            </w:r>
          </w:p>
        </w:tc>
      </w:tr>
      <w:tr>
        <w:tc>
          <w:tcPr>
            <w:tcW w:type="dxa" w:w="2160"/>
            <w:shd w:fill="1F4E78"/>
          </w:tcPr>
          <w:p>
            <w:r>
              <w:rPr>
                <w:b/>
                <w:color w:val="FFFFFF"/>
              </w:rPr>
              <w:t>Contexto</w:t>
            </w:r>
          </w:p>
        </w:tc>
        <w:tc>
          <w:tcPr>
            <w:tcW w:type="dxa" w:w="6480"/>
          </w:tcPr>
          <w:p>
            <w:pPr>
              <w:jc w:val="left"/>
            </w:pPr>
            <w:r>
              <w:rPr>
                <w:sz w:val="20"/>
              </w:rPr>
              <w:t>El documento propone: &gt;85 aprobación automática, 60-84 derivación, &lt;60 rechazo/escalamiento. Camila (Producto) admite 'no hay ciencia detrás, son números de la demo'. Francisca (Cliente) dice 'yo automatizaría solo sobre 90, no 85'. Hay 5 puntos de diferencia pero representan ~600 decisiones/mes en más que se autoaprobarían sin revisión.</w:t>
            </w:r>
          </w:p>
        </w:tc>
      </w:tr>
      <w:tr>
        <w:tc>
          <w:tcPr>
            <w:tcW w:type="dxa" w:w="2160"/>
            <w:shd w:fill="1F4E78"/>
          </w:tcPr>
          <w:p>
            <w:r>
              <w:rPr>
                <w:b/>
                <w:color w:val="FFFFFF"/>
              </w:rPr>
              <w:t>Alternativas</w:t>
            </w:r>
          </w:p>
        </w:tc>
        <w:tc>
          <w:tcPr>
            <w:tcW w:type="dxa" w:w="6480"/>
          </w:tcPr>
          <w:p>
            <w:pPr>
              <w:jc w:val="left"/>
            </w:pPr>
            <w:r>
              <w:rPr>
                <w:sz w:val="20"/>
              </w:rPr>
              <w:t>(a) Mantener 85 como referencia (Dirección de Producto).</w:t>
              <w:br/>
              <w:t>(b) Subir a 90 como recomendación inicial (criterio conservador).</w:t>
              <w:br/>
              <w:t>(c) Dejar vacío, exigir que cliente calibre con datos históricos.</w:t>
              <w:br/>
              <w:t>(d) Usar rango 80-90 con opciones por tipo de proceso.</w:t>
            </w:r>
          </w:p>
        </w:tc>
      </w:tr>
      <w:tr>
        <w:tc>
          <w:tcPr>
            <w:tcW w:type="dxa" w:w="2160"/>
            <w:shd w:fill="1F4E78"/>
          </w:tcPr>
          <w:p>
            <w:r>
              <w:rPr>
                <w:b/>
                <w:color w:val="FFFFFF"/>
              </w:rPr>
              <w:t>Decisión</w:t>
            </w:r>
          </w:p>
        </w:tc>
        <w:tc>
          <w:tcPr>
            <w:tcW w:type="dxa" w:w="6480"/>
          </w:tcPr>
          <w:p>
            <w:pPr>
              <w:jc w:val="left"/>
            </w:pPr>
            <w:r>
              <w:rPr>
                <w:sz w:val="20"/>
              </w:rPr>
              <w:t>Se adopta (b) con condición: la plataforma ofrece valores sugeridos de 90-60-20 como punto de partida, pero CLIENTE tiene poder absoluto de cambiar desde el diseñador de flujos. Estos son sugerencias, no defaults. Todo cambio de umbral queda registrado con autor, fecha y valor anterior (Cap 3, Comportamiento Esperado).</w:t>
            </w:r>
          </w:p>
        </w:tc>
      </w:tr>
      <w:tr>
        <w:tc>
          <w:tcPr>
            <w:tcW w:type="dxa" w:w="2160"/>
            <w:shd w:fill="1F4E78"/>
          </w:tcPr>
          <w:p>
            <w:r>
              <w:rPr>
                <w:b/>
                <w:color w:val="FFFFFF"/>
              </w:rPr>
              <w:t>Justificación</w:t>
            </w:r>
          </w:p>
        </w:tc>
        <w:tc>
          <w:tcPr>
            <w:tcW w:type="dxa" w:w="6480"/>
          </w:tcPr>
          <w:p>
            <w:pPr>
              <w:jc w:val="left"/>
            </w:pPr>
            <w:r>
              <w:rPr>
                <w:sz w:val="20"/>
              </w:rPr>
              <w:t>La automatización sin revisión debe ser conservadora en primer ciclo operativo. Cliente opera con riesgo regulatorio: cada aprobación automática equivocada es potencial reclamo asegurado + reputación. Subir a 90 inicial reduce riesgo de falsos positivos en marcha blanca. Cliente puede bajar después con datos reales.</w:t>
            </w:r>
          </w:p>
        </w:tc>
      </w:tr>
      <w:tr>
        <w:tc>
          <w:tcPr>
            <w:tcW w:type="dxa" w:w="2160"/>
            <w:shd w:fill="1F4E78"/>
          </w:tcPr>
          <w:p>
            <w:r>
              <w:rPr>
                <w:b/>
                <w:color w:val="FFFFFF"/>
              </w:rPr>
              <w:t>Impacto</w:t>
            </w:r>
          </w:p>
        </w:tc>
        <w:tc>
          <w:tcPr>
            <w:tcW w:type="dxa" w:w="6480"/>
          </w:tcPr>
          <w:p>
            <w:pPr>
              <w:jc w:val="left"/>
            </w:pPr>
            <w:r>
              <w:rPr>
                <w:sz w:val="20"/>
              </w:rPr>
              <w:t>Implementación: (1) Deshardcodear valores en código - pasar a configuración editable. (2) Agregar pantalla de calibración en onboarding de cliente. (3) Crear audit log de cambios de umbral. (4) Dashboard que muestre cómo habrían decidido versiones anteriores de umbrales sobre casos reales. (5) Requiere cambio en Entrega 1 (especificación).</w:t>
            </w:r>
          </w:p>
        </w:tc>
      </w:tr>
      <w:tr>
        <w:tc>
          <w:tcPr>
            <w:tcW w:type="dxa" w:w="2160"/>
          </w:tcPr>
          <w:p/>
        </w:tc>
        <w:tc>
          <w:tcPr>
            <w:tcW w:type="dxa" w:w="6480"/>
          </w:tcPr>
          <w:p/>
        </w:tc>
      </w:tr>
    </w:tbl>
    <w:p>
      <w:r>
        <w:br w:type="page"/>
      </w:r>
    </w:p>
    <w:p>
      <w:pPr>
        <w:pStyle w:val="Heading2"/>
      </w:pPr>
      <w:r>
        <w:t>BITÁCORA 5: Tiempos de Procesamiento y Arquitectura</w:t>
      </w:r>
    </w:p>
    <w:tbl>
      <w:tblPr>
        <w:tblStyle w:val="TableGrid"/>
        <w:tblW w:type="auto" w:w="0"/>
        <w:tblLook w:firstColumn="1" w:firstRow="1" w:lastColumn="0" w:lastRow="0" w:noHBand="0" w:noVBand="1" w:val="04A0"/>
      </w:tblPr>
      <w:tblGrid>
        <w:gridCol w:w="4320"/>
        <w:gridCol w:w="4320"/>
      </w:tblGrid>
      <w:tr>
        <w:tc>
          <w:tcPr>
            <w:tcW w:type="dxa" w:w="2160"/>
            <w:shd w:fill="1F4E78"/>
          </w:tcPr>
          <w:p>
            <w:r>
              <w:rPr>
                <w:b/>
                <w:color w:val="FFFFFF"/>
              </w:rPr>
              <w:t>ID</w:t>
            </w:r>
          </w:p>
        </w:tc>
        <w:tc>
          <w:tcPr>
            <w:tcW w:type="dxa" w:w="6480"/>
          </w:tcPr>
          <w:p>
            <w:pPr>
              <w:jc w:val="left"/>
            </w:pPr>
            <w:r>
              <w:rPr>
                <w:sz w:val="20"/>
              </w:rPr>
              <w:t>DEC-05</w:t>
            </w:r>
          </w:p>
        </w:tc>
      </w:tr>
      <w:tr>
        <w:tc>
          <w:tcPr>
            <w:tcW w:type="dxa" w:w="2160"/>
            <w:shd w:fill="1F4E78"/>
          </w:tcPr>
          <w:p>
            <w:r>
              <w:rPr>
                <w:b/>
                <w:color w:val="FFFFFF"/>
              </w:rPr>
              <w:t>Fecha</w:t>
            </w:r>
          </w:p>
        </w:tc>
        <w:tc>
          <w:tcPr>
            <w:tcW w:type="dxa" w:w="6480"/>
          </w:tcPr>
          <w:p>
            <w:pPr>
              <w:jc w:val="left"/>
            </w:pPr>
            <w:r>
              <w:rPr>
                <w:sz w:val="20"/>
              </w:rPr>
              <w:t>28-08-2026</w:t>
            </w:r>
          </w:p>
        </w:tc>
      </w:tr>
      <w:tr>
        <w:tc>
          <w:tcPr>
            <w:tcW w:type="dxa" w:w="2160"/>
            <w:shd w:fill="1F4E78"/>
          </w:tcPr>
          <w:p>
            <w:r>
              <w:rPr>
                <w:b/>
                <w:color w:val="FFFFFF"/>
              </w:rPr>
              <w:t>Asunto</w:t>
            </w:r>
          </w:p>
        </w:tc>
        <w:tc>
          <w:tcPr>
            <w:tcW w:type="dxa" w:w="6480"/>
          </w:tcPr>
          <w:p>
            <w:pPr>
              <w:jc w:val="left"/>
            </w:pPr>
            <w:r>
              <w:rPr>
                <w:sz w:val="20"/>
              </w:rPr>
              <w:t>Sincrónico vs Asincrónico: tiempo máximo de procesamiento por caso</w:t>
            </w:r>
          </w:p>
        </w:tc>
      </w:tr>
      <w:tr>
        <w:tc>
          <w:tcPr>
            <w:tcW w:type="dxa" w:w="2160"/>
            <w:shd w:fill="1F4E78"/>
          </w:tcPr>
          <w:p>
            <w:r>
              <w:rPr>
                <w:b/>
                <w:color w:val="FFFFFF"/>
              </w:rPr>
              <w:t>Contexto</w:t>
            </w:r>
          </w:p>
        </w:tc>
        <w:tc>
          <w:tcPr>
            <w:tcW w:type="dxa" w:w="6480"/>
          </w:tcPr>
          <w:p>
            <w:pPr>
              <w:jc w:val="left"/>
            </w:pPr>
            <w:r>
              <w:rPr>
                <w:sz w:val="20"/>
              </w:rPr>
              <w:t>Documento promete 'ningún caso debe demorar más de 5 segundos' (Cap 4). Realidad: demo con 2 pág PDF + 2 fotos = 2.3 seg. Caso real de reembolso: 12 documentos + 5 MB = 30-40 seg. Video de 5 min = varios minutos. Sebastián advierte: 'prometer 5 segundos es prometer algo que el motor no puede hacer'. Cliente (Hugo) está de acuerdo: 'mientras sea predecible, me da lo mismo si son 3 segundos o 3 minutos'.</w:t>
            </w:r>
          </w:p>
        </w:tc>
      </w:tr>
      <w:tr>
        <w:tc>
          <w:tcPr>
            <w:tcW w:type="dxa" w:w="2160"/>
            <w:shd w:fill="1F4E78"/>
          </w:tcPr>
          <w:p>
            <w:r>
              <w:rPr>
                <w:b/>
                <w:color w:val="FFFFFF"/>
              </w:rPr>
              <w:t>Alternativas</w:t>
            </w:r>
          </w:p>
        </w:tc>
        <w:tc>
          <w:tcPr>
            <w:tcW w:type="dxa" w:w="6480"/>
          </w:tcPr>
          <w:p>
            <w:pPr>
              <w:jc w:val="left"/>
            </w:pPr>
            <w:r>
              <w:rPr>
                <w:sz w:val="20"/>
              </w:rPr>
              <w:t>(a) Mantener arquitectura sincrónica, optimizar a 5 segundos máximo.</w:t>
              <w:br/>
              <w:t>(b) Migrar a asincrónico: cliente manda caso, recibe ACK en &lt;1 seg, resultado por callback.</w:t>
              <w:br/>
              <w:t>(c) Híbrido: sincrónico para documentos livianos, asincrónico para multimedia.</w:t>
            </w:r>
          </w:p>
        </w:tc>
      </w:tr>
      <w:tr>
        <w:tc>
          <w:tcPr>
            <w:tcW w:type="dxa" w:w="2160"/>
            <w:shd w:fill="1F4E78"/>
          </w:tcPr>
          <w:p>
            <w:r>
              <w:rPr>
                <w:b/>
                <w:color w:val="FFFFFF"/>
              </w:rPr>
              <w:t>Decisión</w:t>
            </w:r>
          </w:p>
        </w:tc>
        <w:tc>
          <w:tcPr>
            <w:tcW w:type="dxa" w:w="6480"/>
          </w:tcPr>
          <w:p>
            <w:pPr>
              <w:jc w:val="left"/>
            </w:pPr>
            <w:r>
              <w:rPr>
                <w:sz w:val="20"/>
              </w:rPr>
              <w:t xml:space="preserve">Se adopta (c) con énfasis en predecibilidad: </w:t>
              <w:br/>
              <w:t>- Documentos PDF/imágenes livianas (&lt;2 MB): sincrónico, 2-5 seg máximo.</w:t>
              <w:br/>
              <w:t>- Video/audio/grandes archivos: asincrónico, respuesta inmediata 'recibido', resultado en 1-10 min.</w:t>
              <w:br/>
              <w:t>- Cliente recibe URL de status en tiempo real.</w:t>
              <w:br/>
              <w:t>- Integración debe estar preparada para ambos modos.</w:t>
              <w:br/>
              <w:t>Promesa comercial se ajusta a: 'tiempo de respuesta predecible y documentado por tipo de contenido', no promesa de 5 seg universal.</w:t>
            </w:r>
          </w:p>
        </w:tc>
      </w:tr>
      <w:tr>
        <w:tc>
          <w:tcPr>
            <w:tcW w:type="dxa" w:w="2160"/>
            <w:shd w:fill="1F4E78"/>
          </w:tcPr>
          <w:p>
            <w:r>
              <w:rPr>
                <w:b/>
                <w:color w:val="FFFFFF"/>
              </w:rPr>
              <w:t>Justificación</w:t>
            </w:r>
          </w:p>
        </w:tc>
        <w:tc>
          <w:tcPr>
            <w:tcW w:type="dxa" w:w="6480"/>
          </w:tcPr>
          <w:p>
            <w:pPr>
              <w:jc w:val="left"/>
            </w:pPr>
            <w:r>
              <w:rPr>
                <w:sz w:val="20"/>
              </w:rPr>
              <w:t>Sincrónico puro crea riesgos operacionales: cliente retira a si intenta responder en &lt;5 seg y cae. Asincrónico puro contradice expectativa de decisión rápida. Híbrido respeta capacidad real del motor multimodal: OCR+face es rápido, análisis de video es lento. Cliente prefiere predecibilidad sobre velocidad pura.</w:t>
            </w:r>
          </w:p>
        </w:tc>
      </w:tr>
      <w:tr>
        <w:tc>
          <w:tcPr>
            <w:tcW w:type="dxa" w:w="2160"/>
            <w:shd w:fill="1F4E78"/>
          </w:tcPr>
          <w:p>
            <w:r>
              <w:rPr>
                <w:b/>
                <w:color w:val="FFFFFF"/>
              </w:rPr>
              <w:t>Impacto</w:t>
            </w:r>
          </w:p>
        </w:tc>
        <w:tc>
          <w:tcPr>
            <w:tcW w:type="dxa" w:w="6480"/>
          </w:tcPr>
          <w:p>
            <w:pPr>
              <w:jc w:val="left"/>
            </w:pPr>
            <w:r>
              <w:rPr>
                <w:sz w:val="20"/>
              </w:rPr>
              <w:t>Rediseño arquitectónico significativo. Requiere: (1) Message queue para casos asincrónico. (2) Webhook de callback para notificar resultado. (3) Status API para que cliente consulte progreso. (4) Prueba de carga para medir latencias reales con tipos de contenido variados. (5) Entrega 2 (dic) debe incluir infraestructura asincrónica. (6) Contrato comercial debe especificar SLA por tipo de contenido, no velocidad fija.</w:t>
            </w:r>
          </w:p>
        </w:tc>
      </w:tr>
      <w:tr>
        <w:tc>
          <w:tcPr>
            <w:tcW w:type="dxa" w:w="2160"/>
          </w:tcPr>
          <w:p/>
        </w:tc>
        <w:tc>
          <w:tcPr>
            <w:tcW w:type="dxa" w:w="6480"/>
          </w:tcPr>
          <w:p/>
        </w:tc>
      </w:tr>
    </w:tbl>
    <w:p>
      <w:r>
        <w:br w:type="page"/>
      </w:r>
    </w:p>
    <w:p>
      <w:pPr>
        <w:pStyle w:val="Heading2"/>
      </w:pPr>
      <w:r>
        <w:t>BITÁCORA 6: Comportamiento ante Límite de Llamadas</w:t>
      </w:r>
    </w:p>
    <w:tbl>
      <w:tblPr>
        <w:tblStyle w:val="TableGrid"/>
        <w:tblW w:type="auto" w:w="0"/>
        <w:tblLook w:firstColumn="1" w:firstRow="1" w:lastColumn="0" w:lastRow="0" w:noHBand="0" w:noVBand="1" w:val="04A0"/>
      </w:tblPr>
      <w:tblGrid>
        <w:gridCol w:w="4320"/>
        <w:gridCol w:w="4320"/>
      </w:tblGrid>
      <w:tr>
        <w:tc>
          <w:tcPr>
            <w:tcW w:type="dxa" w:w="2160"/>
            <w:shd w:fill="1F4E78"/>
          </w:tcPr>
          <w:p>
            <w:r>
              <w:rPr>
                <w:b/>
                <w:color w:val="FFFFFF"/>
              </w:rPr>
              <w:t>ID</w:t>
            </w:r>
          </w:p>
        </w:tc>
        <w:tc>
          <w:tcPr>
            <w:tcW w:type="dxa" w:w="6480"/>
          </w:tcPr>
          <w:p>
            <w:pPr>
              <w:jc w:val="left"/>
            </w:pPr>
            <w:r>
              <w:rPr>
                <w:sz w:val="20"/>
              </w:rPr>
              <w:t>DEC-06</w:t>
            </w:r>
          </w:p>
        </w:tc>
      </w:tr>
      <w:tr>
        <w:tc>
          <w:tcPr>
            <w:tcW w:type="dxa" w:w="2160"/>
            <w:shd w:fill="1F4E78"/>
          </w:tcPr>
          <w:p>
            <w:r>
              <w:rPr>
                <w:b/>
                <w:color w:val="FFFFFF"/>
              </w:rPr>
              <w:t>Fecha</w:t>
            </w:r>
          </w:p>
        </w:tc>
        <w:tc>
          <w:tcPr>
            <w:tcW w:type="dxa" w:w="6480"/>
          </w:tcPr>
          <w:p>
            <w:pPr>
              <w:jc w:val="left"/>
            </w:pPr>
            <w:r>
              <w:rPr>
                <w:sz w:val="20"/>
              </w:rPr>
              <w:t>28-08-2026</w:t>
            </w:r>
          </w:p>
        </w:tc>
      </w:tr>
      <w:tr>
        <w:tc>
          <w:tcPr>
            <w:tcW w:type="dxa" w:w="2160"/>
            <w:shd w:fill="1F4E78"/>
          </w:tcPr>
          <w:p>
            <w:r>
              <w:rPr>
                <w:b/>
                <w:color w:val="FFFFFF"/>
              </w:rPr>
              <w:t>Asunto</w:t>
            </w:r>
          </w:p>
        </w:tc>
        <w:tc>
          <w:tcPr>
            <w:tcW w:type="dxa" w:w="6480"/>
          </w:tcPr>
          <w:p>
            <w:pPr>
              <w:jc w:val="left"/>
            </w:pPr>
            <w:r>
              <w:rPr>
                <w:sz w:val="20"/>
              </w:rPr>
              <w:t>Qué ocurre cuando se supera límite de 100 llamadas/minuto en integración</w:t>
            </w:r>
          </w:p>
        </w:tc>
      </w:tr>
      <w:tr>
        <w:tc>
          <w:tcPr>
            <w:tcW w:type="dxa" w:w="2160"/>
            <w:shd w:fill="1F4E78"/>
          </w:tcPr>
          <w:p>
            <w:r>
              <w:rPr>
                <w:b/>
                <w:color w:val="FFFFFF"/>
              </w:rPr>
              <w:t>Contexto</w:t>
            </w:r>
          </w:p>
        </w:tc>
        <w:tc>
          <w:tcPr>
            <w:tcW w:type="dxa" w:w="6480"/>
          </w:tcPr>
          <w:p>
            <w:pPr>
              <w:jc w:val="left"/>
            </w:pPr>
            <w:r>
              <w:rPr>
                <w:sz w:val="20"/>
              </w:rPr>
              <w:t>Documento especifica '100 llamadas/minuto en ambientes de integración' (Cap 2.10). Hugo Marambio advierte: 'Si el límite es 100/min, cuando hago carga inicial de casos históricos o se me acumulan dos días por caída, lo supero en el primer minuto. Necesito saber qué pasa: ¿me rechazan?, ¿me encolan?' Hoy no está definido.</w:t>
            </w:r>
          </w:p>
        </w:tc>
      </w:tr>
      <w:tr>
        <w:tc>
          <w:tcPr>
            <w:tcW w:type="dxa" w:w="2160"/>
            <w:shd w:fill="1F4E78"/>
          </w:tcPr>
          <w:p>
            <w:r>
              <w:rPr>
                <w:b/>
                <w:color w:val="FFFFFF"/>
              </w:rPr>
              <w:t>Alternativas</w:t>
            </w:r>
          </w:p>
        </w:tc>
        <w:tc>
          <w:tcPr>
            <w:tcW w:type="dxa" w:w="6480"/>
          </w:tcPr>
          <w:p>
            <w:pPr>
              <w:jc w:val="left"/>
            </w:pPr>
            <w:r>
              <w:rPr>
                <w:sz w:val="20"/>
              </w:rPr>
              <w:t>(a) Rechazar llamadas que excedan límite con error HTTP 429.</w:t>
              <w:br/>
              <w:t>(b) Encolar automáticamente, procesar en orden FIFO sin pérdida.</w:t>
              <w:br/>
              <w:t>(c) Usar algoritmo de rate limiting más inteligente (token bucket).</w:t>
              <w:br/>
              <w:t>(d) No tener límite, escalar infraestructura según demanda.</w:t>
            </w:r>
          </w:p>
        </w:tc>
      </w:tr>
      <w:tr>
        <w:tc>
          <w:tcPr>
            <w:tcW w:type="dxa" w:w="2160"/>
            <w:shd w:fill="1F4E78"/>
          </w:tcPr>
          <w:p>
            <w:r>
              <w:rPr>
                <w:b/>
                <w:color w:val="FFFFFF"/>
              </w:rPr>
              <w:t>Decisión</w:t>
            </w:r>
          </w:p>
        </w:tc>
        <w:tc>
          <w:tcPr>
            <w:tcW w:type="dxa" w:w="6480"/>
          </w:tcPr>
          <w:p>
            <w:pPr>
              <w:jc w:val="left"/>
            </w:pPr>
            <w:r>
              <w:rPr>
                <w:sz w:val="20"/>
              </w:rPr>
              <w:t>Se adopta (b): cuando se alcanza límite, llamadas se encolan, NO se rechazan. Cliente recibe respuesta inmediata 'caso encolado, procesando en orden' con posición en cola y ETA. Límite de 100/min es para ambiente de integración (testing). Producción tendrá 1000/min con mismo encolamiento automático.</w:t>
            </w:r>
          </w:p>
        </w:tc>
      </w:tr>
      <w:tr>
        <w:tc>
          <w:tcPr>
            <w:tcW w:type="dxa" w:w="2160"/>
            <w:shd w:fill="1F4E78"/>
          </w:tcPr>
          <w:p>
            <w:r>
              <w:rPr>
                <w:b/>
                <w:color w:val="FFFFFF"/>
              </w:rPr>
              <w:t>Justificación</w:t>
            </w:r>
          </w:p>
        </w:tc>
        <w:tc>
          <w:tcPr>
            <w:tcW w:type="dxa" w:w="6480"/>
          </w:tcPr>
          <w:p>
            <w:pPr>
              <w:jc w:val="left"/>
            </w:pPr>
            <w:r>
              <w:rPr>
                <w:sz w:val="20"/>
              </w:rPr>
              <w:t>Rechazo genera reintento duplicado en sistema cliente, pierde casos, requiere intervención manual. Encola es operacionalmente transparente. Cliente mantiene contrato SLA: 'casos se procesan en orden de llegada, incluso si llegan en burst'. Protege integridad de datos cuando cliente carga lotes históricos.</w:t>
            </w:r>
          </w:p>
        </w:tc>
      </w:tr>
      <w:tr>
        <w:tc>
          <w:tcPr>
            <w:tcW w:type="dxa" w:w="2160"/>
            <w:shd w:fill="1F4E78"/>
          </w:tcPr>
          <w:p>
            <w:r>
              <w:rPr>
                <w:b/>
                <w:color w:val="FFFFFF"/>
              </w:rPr>
              <w:t>Impacto</w:t>
            </w:r>
          </w:p>
        </w:tc>
        <w:tc>
          <w:tcPr>
            <w:tcW w:type="dxa" w:w="6480"/>
          </w:tcPr>
          <w:p>
            <w:pPr>
              <w:jc w:val="left"/>
            </w:pPr>
            <w:r>
              <w:rPr>
                <w:sz w:val="20"/>
              </w:rPr>
              <w:t>Implementación: (1) Message broker (RabbitMQ o similar) para encolar. (2) Cambiar API response: si está encolado, devolver ACK diferente que si está procesando. (3) Status endpoint para consultar posición en cola. (4) Alerts si cola crece más de X minutos (indica degradación de performance). (5) Tests de carga con burst de 500 llamadas/seg. (6) Documentación clara: 'límites son para proteger servicio, no para rechazar clientes'.</w:t>
            </w:r>
          </w:p>
        </w:tc>
      </w:tr>
      <w:tr>
        <w:tc>
          <w:tcPr>
            <w:tcW w:type="dxa" w:w="2160"/>
          </w:tcPr>
          <w:p/>
        </w:tc>
        <w:tc>
          <w:tcPr>
            <w:tcW w:type="dxa" w:w="6480"/>
          </w:tcPr>
          <w:p/>
        </w:tc>
      </w:tr>
    </w:tbl>
    <w:p>
      <w:r>
        <w:br w:type="page"/>
      </w:r>
    </w:p>
    <w:p>
      <w:pPr>
        <w:pStyle w:val="Heading2"/>
      </w:pPr>
      <w:r>
        <w:t>BITÁCORA 7: Prohibición de Rechazos Automáticos</w:t>
      </w:r>
    </w:p>
    <w:tbl>
      <w:tblPr>
        <w:tblStyle w:val="TableGrid"/>
        <w:tblW w:type="auto" w:w="0"/>
        <w:tblLook w:firstColumn="1" w:firstRow="1" w:lastColumn="0" w:lastRow="0" w:noHBand="0" w:noVBand="1" w:val="04A0"/>
      </w:tblPr>
      <w:tblGrid>
        <w:gridCol w:w="4320"/>
        <w:gridCol w:w="4320"/>
      </w:tblGrid>
      <w:tr>
        <w:tc>
          <w:tcPr>
            <w:tcW w:type="dxa" w:w="2160"/>
            <w:shd w:fill="1F4E78"/>
          </w:tcPr>
          <w:p>
            <w:r>
              <w:rPr>
                <w:b/>
                <w:color w:val="FFFFFF"/>
              </w:rPr>
              <w:t>ID</w:t>
            </w:r>
          </w:p>
        </w:tc>
        <w:tc>
          <w:tcPr>
            <w:tcW w:type="dxa" w:w="6480"/>
          </w:tcPr>
          <w:p>
            <w:pPr>
              <w:jc w:val="left"/>
            </w:pPr>
            <w:r>
              <w:rPr>
                <w:sz w:val="20"/>
              </w:rPr>
              <w:t>DEC-07</w:t>
            </w:r>
          </w:p>
        </w:tc>
      </w:tr>
      <w:tr>
        <w:tc>
          <w:tcPr>
            <w:tcW w:type="dxa" w:w="2160"/>
            <w:shd w:fill="1F4E78"/>
          </w:tcPr>
          <w:p>
            <w:r>
              <w:rPr>
                <w:b/>
                <w:color w:val="FFFFFF"/>
              </w:rPr>
              <w:t>Fecha</w:t>
            </w:r>
          </w:p>
        </w:tc>
        <w:tc>
          <w:tcPr>
            <w:tcW w:type="dxa" w:w="6480"/>
          </w:tcPr>
          <w:p>
            <w:pPr>
              <w:jc w:val="left"/>
            </w:pPr>
            <w:r>
              <w:rPr>
                <w:sz w:val="20"/>
              </w:rPr>
              <w:t>28-08-2026</w:t>
            </w:r>
          </w:p>
        </w:tc>
      </w:tr>
      <w:tr>
        <w:tc>
          <w:tcPr>
            <w:tcW w:type="dxa" w:w="2160"/>
            <w:shd w:fill="1F4E78"/>
          </w:tcPr>
          <w:p>
            <w:r>
              <w:rPr>
                <w:b/>
                <w:color w:val="FFFFFF"/>
              </w:rPr>
              <w:t>Asunto</w:t>
            </w:r>
          </w:p>
        </w:tc>
        <w:tc>
          <w:tcPr>
            <w:tcW w:type="dxa" w:w="6480"/>
          </w:tcPr>
          <w:p>
            <w:pPr>
              <w:jc w:val="left"/>
            </w:pPr>
            <w:r>
              <w:rPr>
                <w:sz w:val="20"/>
              </w:rPr>
              <w:t>Rechazo automático en decisiones que afectan patrimonio del asegurado</w:t>
            </w:r>
          </w:p>
        </w:tc>
      </w:tr>
      <w:tr>
        <w:tc>
          <w:tcPr>
            <w:tcW w:type="dxa" w:w="2160"/>
            <w:shd w:fill="1F4E78"/>
          </w:tcPr>
          <w:p>
            <w:r>
              <w:rPr>
                <w:b/>
                <w:color w:val="FFFFFF"/>
              </w:rPr>
              <w:t>Contexto</w:t>
            </w:r>
          </w:p>
        </w:tc>
        <w:tc>
          <w:tcPr>
            <w:tcW w:type="dxa" w:w="6480"/>
          </w:tcPr>
          <w:p>
            <w:pPr>
              <w:jc w:val="left"/>
            </w:pPr>
            <w:r>
              <w:rPr>
                <w:sz w:val="20"/>
              </w:rPr>
              <w:t>Documento propone 'bajo 60, se escala o se rechaza' (Cap 2.6). Daniela Cortés (Cumplimiento cliente): 'un rechazo de reembolso afecta patrimonio. La normativa exige intervención humana significativa. No puede haber rechazo automático. El 'o rechazo' es exactamente lo que no puede quedar así'. Legal + regulatorio bloquearían operación con rechazos automáticos.</w:t>
            </w:r>
          </w:p>
        </w:tc>
      </w:tr>
      <w:tr>
        <w:tc>
          <w:tcPr>
            <w:tcW w:type="dxa" w:w="2160"/>
            <w:shd w:fill="1F4E78"/>
          </w:tcPr>
          <w:p>
            <w:r>
              <w:rPr>
                <w:b/>
                <w:color w:val="FFFFFF"/>
              </w:rPr>
              <w:t>Alternativas</w:t>
            </w:r>
          </w:p>
        </w:tc>
        <w:tc>
          <w:tcPr>
            <w:tcW w:type="dxa" w:w="6480"/>
          </w:tcPr>
          <w:p>
            <w:pPr>
              <w:jc w:val="left"/>
            </w:pPr>
            <w:r>
              <w:rPr>
                <w:sz w:val="20"/>
              </w:rPr>
              <w:t>(a) Permitir rechazo automático en puntajes muy bajos (&lt;20).</w:t>
              <w:br/>
              <w:t>(b) Solo aprobaciones automáticas, TODOS los rechazos con intervención humana.</w:t>
              <w:br/>
              <w:t>(c) Rechazos automáticos solo en fraude detectado, no por puntaje bajo.</w:t>
              <w:br/>
              <w:t>(d) Escalamiento automático sin rechazo, humano decide.</w:t>
            </w:r>
          </w:p>
        </w:tc>
      </w:tr>
      <w:tr>
        <w:tc>
          <w:tcPr>
            <w:tcW w:type="dxa" w:w="2160"/>
            <w:shd w:fill="1F4E78"/>
          </w:tcPr>
          <w:p>
            <w:r>
              <w:rPr>
                <w:b/>
                <w:color w:val="FFFFFF"/>
              </w:rPr>
              <w:t>Decisión</w:t>
            </w:r>
          </w:p>
        </w:tc>
        <w:tc>
          <w:tcPr>
            <w:tcW w:type="dxa" w:w="6480"/>
          </w:tcPr>
          <w:p>
            <w:pPr>
              <w:jc w:val="left"/>
            </w:pPr>
            <w:r>
              <w:rPr>
                <w:sz w:val="20"/>
              </w:rPr>
              <w:t>Se adopta (b): decisión de aprobación puede ser automática si puntaje &gt;= 90 y sin señales de fraude activas (Cap 2.6, revisado). Decisión de rechazo SIEMPRE requiere intervención humana. Bajo puntaje (&lt;60) = DERIVACIÓN A REVISIÓN, no rechazo automático. Operador humano decide aprobar, rechazar o solicitar antecedentes. Esto cumple requisito legal de 'intervención humana significativa'.</w:t>
            </w:r>
          </w:p>
        </w:tc>
      </w:tr>
      <w:tr>
        <w:tc>
          <w:tcPr>
            <w:tcW w:type="dxa" w:w="2160"/>
            <w:shd w:fill="1F4E78"/>
          </w:tcPr>
          <w:p>
            <w:r>
              <w:rPr>
                <w:b/>
                <w:color w:val="FFFFFF"/>
              </w:rPr>
              <w:t>Justificación</w:t>
            </w:r>
          </w:p>
        </w:tc>
        <w:tc>
          <w:tcPr>
            <w:tcW w:type="dxa" w:w="6480"/>
          </w:tcPr>
          <w:p>
            <w:pPr>
              <w:jc w:val="left"/>
            </w:pPr>
            <w:r>
              <w:rPr>
                <w:sz w:val="20"/>
              </w:rPr>
              <w:t>Cumpimiento regulatorio no negociable. Normativa de protección de datos en región avanza hacia exigencia de explicabilidad en decisiones adversas. Rechazo automático de reembolso es decisión adversa. Cliente no puede explicar rechazo con criterios humanos si fue automático. Marca tono para operaciones futuras: decisiones favorables pueden ser automáticas, adversas no.</w:t>
            </w:r>
          </w:p>
        </w:tc>
      </w:tr>
      <w:tr>
        <w:tc>
          <w:tcPr>
            <w:tcW w:type="dxa" w:w="2160"/>
            <w:shd w:fill="1F4E78"/>
          </w:tcPr>
          <w:p>
            <w:r>
              <w:rPr>
                <w:b/>
                <w:color w:val="FFFFFF"/>
              </w:rPr>
              <w:t>Impacto</w:t>
            </w:r>
          </w:p>
        </w:tc>
        <w:tc>
          <w:tcPr>
            <w:tcW w:type="dxa" w:w="6480"/>
          </w:tcPr>
          <w:p>
            <w:pPr>
              <w:jc w:val="left"/>
            </w:pPr>
            <w:r>
              <w:rPr>
                <w:sz w:val="20"/>
              </w:rPr>
              <w:t>Rediseño lógica de decisión en motor (Entrega 2). Cambios: (1) Remover opción 'rechazo' del threshold bajo 60. (2) Reemplazar con 'derivación a revisión' con razón clara. (3) Operador es quien rechaza después de revisar. (4) Crear audit trail de quién rechazó y por qué. (5) Dashboard de 'rechazos por mes' segregado por automático (0, porque se prohibe) vs humano. (6) Capacitación a operadores sobre responsabilidad legal de rechazo.</w:t>
            </w:r>
          </w:p>
        </w:tc>
      </w:tr>
      <w:tr>
        <w:tc>
          <w:tcPr>
            <w:tcW w:type="dxa" w:w="2160"/>
          </w:tcPr>
          <w:p/>
        </w:tc>
        <w:tc>
          <w:tcPr>
            <w:tcW w:type="dxa" w:w="6480"/>
          </w:tcPr>
          <w:p/>
        </w:tc>
      </w:tr>
    </w:tbl>
    <w:p>
      <w:r>
        <w:br w:type="page"/>
      </w:r>
    </w:p>
    <w:p>
      <w:pPr>
        <w:pStyle w:val="Heading2"/>
      </w:pPr>
      <w:r>
        <w:t>BITÁCORA 8: Autenticación contra Directorio Corporativo</w:t>
      </w:r>
    </w:p>
    <w:tbl>
      <w:tblPr>
        <w:tblStyle w:val="TableGrid"/>
        <w:tblW w:type="auto" w:w="0"/>
        <w:tblLook w:firstColumn="1" w:firstRow="1" w:lastColumn="0" w:lastRow="0" w:noHBand="0" w:noVBand="1" w:val="04A0"/>
      </w:tblPr>
      <w:tblGrid>
        <w:gridCol w:w="4320"/>
        <w:gridCol w:w="4320"/>
      </w:tblGrid>
      <w:tr>
        <w:tc>
          <w:tcPr>
            <w:tcW w:type="dxa" w:w="2160"/>
            <w:shd w:fill="1F4E78"/>
          </w:tcPr>
          <w:p>
            <w:r>
              <w:rPr>
                <w:b/>
                <w:color w:val="FFFFFF"/>
              </w:rPr>
              <w:t>ID</w:t>
            </w:r>
          </w:p>
        </w:tc>
        <w:tc>
          <w:tcPr>
            <w:tcW w:type="dxa" w:w="6480"/>
          </w:tcPr>
          <w:p>
            <w:pPr>
              <w:jc w:val="left"/>
            </w:pPr>
            <w:r>
              <w:rPr>
                <w:sz w:val="20"/>
              </w:rPr>
              <w:t>DEC-08</w:t>
            </w:r>
          </w:p>
        </w:tc>
      </w:tr>
      <w:tr>
        <w:tc>
          <w:tcPr>
            <w:tcW w:type="dxa" w:w="2160"/>
            <w:shd w:fill="1F4E78"/>
          </w:tcPr>
          <w:p>
            <w:r>
              <w:rPr>
                <w:b/>
                <w:color w:val="FFFFFF"/>
              </w:rPr>
              <w:t>Fecha</w:t>
            </w:r>
          </w:p>
        </w:tc>
        <w:tc>
          <w:tcPr>
            <w:tcW w:type="dxa" w:w="6480"/>
          </w:tcPr>
          <w:p>
            <w:pPr>
              <w:jc w:val="left"/>
            </w:pPr>
            <w:r>
              <w:rPr>
                <w:sz w:val="20"/>
              </w:rPr>
              <w:t>28-08-2026</w:t>
            </w:r>
          </w:p>
        </w:tc>
      </w:tr>
      <w:tr>
        <w:tc>
          <w:tcPr>
            <w:tcW w:type="dxa" w:w="2160"/>
            <w:shd w:fill="1F4E78"/>
          </w:tcPr>
          <w:p>
            <w:r>
              <w:rPr>
                <w:b/>
                <w:color w:val="FFFFFF"/>
              </w:rPr>
              <w:t>Asunto</w:t>
            </w:r>
          </w:p>
        </w:tc>
        <w:tc>
          <w:tcPr>
            <w:tcW w:type="dxa" w:w="6480"/>
          </w:tcPr>
          <w:p>
            <w:pPr>
              <w:jc w:val="left"/>
            </w:pPr>
            <w:r>
              <w:rPr>
                <w:sz w:val="20"/>
              </w:rPr>
              <w:t>Usuarios de clientes: credenciales propias vs. federadas contra LDAP/AD</w:t>
            </w:r>
          </w:p>
        </w:tc>
      </w:tr>
      <w:tr>
        <w:tc>
          <w:tcPr>
            <w:tcW w:type="dxa" w:w="2160"/>
            <w:shd w:fill="1F4E78"/>
          </w:tcPr>
          <w:p>
            <w:r>
              <w:rPr>
                <w:b/>
                <w:color w:val="FFFFFF"/>
              </w:rPr>
              <w:t>Contexto</w:t>
            </w:r>
          </w:p>
        </w:tc>
        <w:tc>
          <w:tcPr>
            <w:tcW w:type="dxa" w:w="6480"/>
          </w:tcPr>
          <w:p>
            <w:pPr>
              <w:jc w:val="left"/>
            </w:pPr>
            <w:r>
              <w:rPr>
                <w:sz w:val="20"/>
              </w:rPr>
              <w:t>Documento assume 'usuarios se autentican con credenciales que administra la plataforma' (Cap 2.13). Hugo (Arquitectura cliente) rechaza: 'no voy a administrar segundo juego de contraseñas para 50 analistas. Seguridad tampoco lo va a aprobar. Eso va a tener que cambiar para nosotros, significa federar contra directorio corporativo'.</w:t>
            </w:r>
          </w:p>
        </w:tc>
      </w:tr>
      <w:tr>
        <w:tc>
          <w:tcPr>
            <w:tcW w:type="dxa" w:w="2160"/>
            <w:shd w:fill="1F4E78"/>
          </w:tcPr>
          <w:p>
            <w:r>
              <w:rPr>
                <w:b/>
                <w:color w:val="FFFFFF"/>
              </w:rPr>
              <w:t>Alternativas</w:t>
            </w:r>
          </w:p>
        </w:tc>
        <w:tc>
          <w:tcPr>
            <w:tcW w:type="dxa" w:w="6480"/>
          </w:tcPr>
          <w:p>
            <w:pPr>
              <w:jc w:val="left"/>
            </w:pPr>
            <w:r>
              <w:rPr>
                <w:sz w:val="20"/>
              </w:rPr>
              <w:t>(a) Mantener usuarios propios de MIRA (status quo).</w:t>
              <w:br/>
              <w:t>(b) Soportar LDAP/Active Directory corporativo del cliente.</w:t>
              <w:br/>
              <w:t>(c) Soportar ambos: propios y federados, por cliente.</w:t>
              <w:br/>
              <w:t>(d) Usar OAuth2 / OIDC contra proveedor externo (Google, Azure).</w:t>
            </w:r>
          </w:p>
        </w:tc>
      </w:tr>
      <w:tr>
        <w:tc>
          <w:tcPr>
            <w:tcW w:type="dxa" w:w="2160"/>
            <w:shd w:fill="1F4E78"/>
          </w:tcPr>
          <w:p>
            <w:r>
              <w:rPr>
                <w:b/>
                <w:color w:val="FFFFFF"/>
              </w:rPr>
              <w:t>Decisión</w:t>
            </w:r>
          </w:p>
        </w:tc>
        <w:tc>
          <w:tcPr>
            <w:tcW w:type="dxa" w:w="6480"/>
          </w:tcPr>
          <w:p>
            <w:pPr>
              <w:jc w:val="left"/>
            </w:pPr>
            <w:r>
              <w:rPr>
                <w:sz w:val="20"/>
              </w:rPr>
              <w:t>Se adopta (c): plataforma soportará ambos modos. Por defecto, usuarios propios. Si cliente lo requiere, habilitar federación LDAP/Active Directory. Esto es configurable a nivel de Organización (cada cliente). Primer cliente (aseguradora) operará con usuarios propios en marcha blanca. En Entrega 4 (abril 2027) se agrega soporte de federación como feature.</w:t>
            </w:r>
          </w:p>
        </w:tc>
      </w:tr>
      <w:tr>
        <w:tc>
          <w:tcPr>
            <w:tcW w:type="dxa" w:w="2160"/>
            <w:shd w:fill="1F4E78"/>
          </w:tcPr>
          <w:p>
            <w:r>
              <w:rPr>
                <w:b/>
                <w:color w:val="FFFFFF"/>
              </w:rPr>
              <w:t>Justificación</w:t>
            </w:r>
          </w:p>
        </w:tc>
        <w:tc>
          <w:tcPr>
            <w:tcW w:type="dxa" w:w="6480"/>
          </w:tcPr>
          <w:p>
            <w:pPr>
              <w:jc w:val="left"/>
            </w:pPr>
            <w:r>
              <w:rPr>
                <w:sz w:val="20"/>
              </w:rPr>
              <w:t>Usuarios propios escalan administrativamente solo a pequeño número de usuarios. Grandes clientes (50+ analistas) requieren integración con infraestructura existente. No tener federación es bloqueador comercial para clientes enterprise. Soportar ambos respeta constraints técnicos de diferentes clientes.</w:t>
            </w:r>
          </w:p>
        </w:tc>
      </w:tr>
      <w:tr>
        <w:tc>
          <w:tcPr>
            <w:tcW w:type="dxa" w:w="2160"/>
            <w:shd w:fill="1F4E78"/>
          </w:tcPr>
          <w:p>
            <w:r>
              <w:rPr>
                <w:b/>
                <w:color w:val="FFFFFF"/>
              </w:rPr>
              <w:t>Impacto</w:t>
            </w:r>
          </w:p>
        </w:tc>
        <w:tc>
          <w:tcPr>
            <w:tcW w:type="dxa" w:w="6480"/>
          </w:tcPr>
          <w:p>
            <w:pPr>
              <w:jc w:val="left"/>
            </w:pPr>
            <w:r>
              <w:rPr>
                <w:sz w:val="20"/>
              </w:rPr>
              <w:t>Implementación en Entrega 4 (baja prioridad): (1) Agregar connector LDAP genérico. (2) Diseño de mapeo: LDAP groups -&gt; MIRA roles. (3) Provisioning de usuarios: creación automática al primer login federado. (4) Sincronización de cambios (cambio de grupo = cambio de rol). (5) Fallback: si LDAP no responde, bloquear login o usar cache de último directorio. (6) Testing con Active Directory (Windows) y OpenLDAP (Linux).</w:t>
            </w:r>
          </w:p>
        </w:tc>
      </w:tr>
      <w:tr>
        <w:tc>
          <w:tcPr>
            <w:tcW w:type="dxa" w:w="2160"/>
          </w:tcPr>
          <w:p/>
        </w:tc>
        <w:tc>
          <w:tcPr>
            <w:tcW w:type="dxa" w:w="6480"/>
          </w:tcPr>
          <w:p/>
        </w:tc>
      </w:tr>
    </w:tbl>
    <w:p>
      <w:r>
        <w:br w:type="page"/>
      </w:r>
    </w:p>
    <w:p>
      <w:pPr>
        <w:pStyle w:val="Heading2"/>
      </w:pPr>
      <w:r>
        <w:t>BITÁCORA 9: Ventana de Mantenimiento Mensual</w:t>
      </w:r>
    </w:p>
    <w:tbl>
      <w:tblPr>
        <w:tblStyle w:val="TableGrid"/>
        <w:tblW w:type="auto" w:w="0"/>
        <w:tblLook w:firstColumn="1" w:firstRow="1" w:lastColumn="0" w:lastRow="0" w:noHBand="0" w:noVBand="1" w:val="04A0"/>
      </w:tblPr>
      <w:tblGrid>
        <w:gridCol w:w="4320"/>
        <w:gridCol w:w="4320"/>
      </w:tblGrid>
      <w:tr>
        <w:tc>
          <w:tcPr>
            <w:tcW w:type="dxa" w:w="2160"/>
            <w:shd w:fill="1F4E78"/>
          </w:tcPr>
          <w:p>
            <w:r>
              <w:rPr>
                <w:b/>
                <w:color w:val="FFFFFF"/>
              </w:rPr>
              <w:t>ID</w:t>
            </w:r>
          </w:p>
        </w:tc>
        <w:tc>
          <w:tcPr>
            <w:tcW w:type="dxa" w:w="6480"/>
          </w:tcPr>
          <w:p>
            <w:pPr>
              <w:jc w:val="left"/>
            </w:pPr>
            <w:r>
              <w:rPr>
                <w:sz w:val="20"/>
              </w:rPr>
              <w:t>DEC-09</w:t>
            </w:r>
          </w:p>
        </w:tc>
      </w:tr>
      <w:tr>
        <w:tc>
          <w:tcPr>
            <w:tcW w:type="dxa" w:w="2160"/>
            <w:shd w:fill="1F4E78"/>
          </w:tcPr>
          <w:p>
            <w:r>
              <w:rPr>
                <w:b/>
                <w:color w:val="FFFFFF"/>
              </w:rPr>
              <w:t>Fecha</w:t>
            </w:r>
          </w:p>
        </w:tc>
        <w:tc>
          <w:tcPr>
            <w:tcW w:type="dxa" w:w="6480"/>
          </w:tcPr>
          <w:p>
            <w:pPr>
              <w:jc w:val="left"/>
            </w:pPr>
            <w:r>
              <w:rPr>
                <w:sz w:val="20"/>
              </w:rPr>
              <w:t>28-08-2026</w:t>
            </w:r>
          </w:p>
        </w:tc>
      </w:tr>
      <w:tr>
        <w:tc>
          <w:tcPr>
            <w:tcW w:type="dxa" w:w="2160"/>
            <w:shd w:fill="1F4E78"/>
          </w:tcPr>
          <w:p>
            <w:r>
              <w:rPr>
                <w:b/>
                <w:color w:val="FFFFFF"/>
              </w:rPr>
              <w:t>Asunto</w:t>
            </w:r>
          </w:p>
        </w:tc>
        <w:tc>
          <w:tcPr>
            <w:tcW w:type="dxa" w:w="6480"/>
          </w:tcPr>
          <w:p>
            <w:pPr>
              <w:jc w:val="left"/>
            </w:pPr>
            <w:r>
              <w:rPr>
                <w:sz w:val="20"/>
              </w:rPr>
              <w:t>Horario de mantenimiento en operación 24/7 multi-zona horaria</w:t>
            </w:r>
          </w:p>
        </w:tc>
      </w:tr>
      <w:tr>
        <w:tc>
          <w:tcPr>
            <w:tcW w:type="dxa" w:w="2160"/>
            <w:shd w:fill="1F4E78"/>
          </w:tcPr>
          <w:p>
            <w:r>
              <w:rPr>
                <w:b/>
                <w:color w:val="FFFFFF"/>
              </w:rPr>
              <w:t>Contexto</w:t>
            </w:r>
          </w:p>
        </w:tc>
        <w:tc>
          <w:tcPr>
            <w:tcW w:type="dxa" w:w="6480"/>
          </w:tcPr>
          <w:p>
            <w:pPr>
              <w:jc w:val="left"/>
            </w:pPr>
            <w:r>
              <w:rPr>
                <w:sz w:val="20"/>
              </w:rPr>
              <w:t>Documento propone 'ventana de mantenimiento mensual, en horario nocturno, coordinada con cada cliente' (Cap 4). Tomás (Operaciones) advierte: 'la pregunta que nadie ha hecho es de quién es la noche. Si entra alguien en México, la ventana nocturna de allá es plena mañana acá. Si estamos aceptando casos las 24 horas, cualquier ventana es una ventana en que alguien espera'.</w:t>
            </w:r>
          </w:p>
        </w:tc>
      </w:tr>
      <w:tr>
        <w:tc>
          <w:tcPr>
            <w:tcW w:type="dxa" w:w="2160"/>
            <w:shd w:fill="1F4E78"/>
          </w:tcPr>
          <w:p>
            <w:r>
              <w:rPr>
                <w:b/>
                <w:color w:val="FFFFFF"/>
              </w:rPr>
              <w:t>Alternativas</w:t>
            </w:r>
          </w:p>
        </w:tc>
        <w:tc>
          <w:tcPr>
            <w:tcW w:type="dxa" w:w="6480"/>
          </w:tcPr>
          <w:p>
            <w:pPr>
              <w:jc w:val="left"/>
            </w:pPr>
            <w:r>
              <w:rPr>
                <w:sz w:val="20"/>
              </w:rPr>
              <w:t>(a) Mantener ventana nocturna única (Santiago) una vez al mes.</w:t>
              <w:br/>
              <w:t>(b) Ventanas de mantenimiento coordinadas por zona horaria del cliente.</w:t>
              <w:br/>
              <w:t>(c) Blue-green deployment: cero downtime, cambios sin detener servicio.</w:t>
              <w:br/>
              <w:t>(d) Ventana corta (30 min) a hora coordinada, con queue de casos durante mantenimiento.</w:t>
            </w:r>
          </w:p>
        </w:tc>
      </w:tr>
      <w:tr>
        <w:tc>
          <w:tcPr>
            <w:tcW w:type="dxa" w:w="2160"/>
            <w:shd w:fill="1F4E78"/>
          </w:tcPr>
          <w:p>
            <w:r>
              <w:rPr>
                <w:b/>
                <w:color w:val="FFFFFF"/>
              </w:rPr>
              <w:t>Decisión</w:t>
            </w:r>
          </w:p>
        </w:tc>
        <w:tc>
          <w:tcPr>
            <w:tcW w:type="dxa" w:w="6480"/>
          </w:tcPr>
          <w:p>
            <w:pPr>
              <w:jc w:val="left"/>
            </w:pPr>
            <w:r>
              <w:rPr>
                <w:sz w:val="20"/>
              </w:rPr>
              <w:t>Se adopta (c) como meta, (d) como transitorio: Inmediatamente: mantenimiento con máximo 30 minutos de downtime, coordinado con cada cliente según su zona. Casos que llegan durante ventana se encolan, no se pierden, se procesan después. A largo plazo (Entrega 4+): implementar blue-green deployment con cero downtime. DPRIME notifica con 72 horas de anticipación, cliente elige horario conveniente.</w:t>
            </w:r>
          </w:p>
        </w:tc>
      </w:tr>
      <w:tr>
        <w:tc>
          <w:tcPr>
            <w:tcW w:type="dxa" w:w="2160"/>
            <w:shd w:fill="1F4E78"/>
          </w:tcPr>
          <w:p>
            <w:r>
              <w:rPr>
                <w:b/>
                <w:color w:val="FFFFFF"/>
              </w:rPr>
              <w:t>Justificación</w:t>
            </w:r>
          </w:p>
        </w:tc>
        <w:tc>
          <w:tcPr>
            <w:tcW w:type="dxa" w:w="6480"/>
          </w:tcPr>
          <w:p>
            <w:pPr>
              <w:jc w:val="left"/>
            </w:pPr>
            <w:r>
              <w:rPr>
                <w:sz w:val="20"/>
              </w:rPr>
              <w:t>24/7 global es promesa de plataforma. Ventana nocturna única de Santiago es incompatible con operación multi-regional. No pode ver 'noche' como ventana de downtime si clientes en otros husos operan. Encolamiento durante mantenimiento es pragmático: servicio 'técnicamente disponible', casos se procesan con latencia aceptable.</w:t>
            </w:r>
          </w:p>
        </w:tc>
      </w:tr>
      <w:tr>
        <w:tc>
          <w:tcPr>
            <w:tcW w:type="dxa" w:w="2160"/>
            <w:shd w:fill="1F4E78"/>
          </w:tcPr>
          <w:p>
            <w:r>
              <w:rPr>
                <w:b/>
                <w:color w:val="FFFFFF"/>
              </w:rPr>
              <w:t>Impacto</w:t>
            </w:r>
          </w:p>
        </w:tc>
        <w:tc>
          <w:tcPr>
            <w:tcW w:type="dxa" w:w="6480"/>
          </w:tcPr>
          <w:p>
            <w:pPr>
              <w:jc w:val="left"/>
            </w:pPr>
            <w:r>
              <w:rPr>
                <w:sz w:val="20"/>
              </w:rPr>
              <w:t>Arquitectura: (1) Load balancer inteligente que encola durante maintenance windows. (2) Notificación preventiva: 'servicio en mantenimiento, su caso será procesado en ~10 min'. (3) Monitoreo de cola: si queue crece anormalmente, abortar mantenimiento. (4) Rollback plan: si deployment falla, revertir a versión anterior automáticamente. (5) Testing: simular mantenimiento con traffic real. (6) SLA: mantenimiento máximo 1 vez/mes, máximo 30 min, casos encolados se procesan en &lt;15 min después.</w:t>
            </w:r>
          </w:p>
        </w:tc>
      </w:tr>
      <w:tr>
        <w:tc>
          <w:tcPr>
            <w:tcW w:type="dxa" w:w="2160"/>
          </w:tcPr>
          <w:p/>
        </w:tc>
        <w:tc>
          <w:tcPr>
            <w:tcW w:type="dxa" w:w="6480"/>
          </w:tcPr>
          <w:p/>
        </w:tc>
      </w:tr>
    </w:tbl>
    <w:p>
      <w:r>
        <w:br w:type="page"/>
      </w:r>
    </w:p>
    <w:p>
      <w:pPr>
        <w:jc w:val="center"/>
      </w:pPr>
    </w:p>
    <w:p/>
    <w:p/>
    <w:p>
      <w:pPr>
        <w:jc w:val="center"/>
      </w:pPr>
      <w:r>
        <w:rPr>
          <w:b/>
        </w:rPr>
        <w:t>Representante del Cliente - Aseguradora Piloto</w:t>
      </w:r>
    </w:p>
    <w:p/>
    <w:p>
      <w:pPr>
        <w:jc w:val="center"/>
      </w:pPr>
      <w:r>
        <w:t>Fecha: 04-09-2026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