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policy</w:t>
      </w:r>
    </w:p>
    <w:p>
      <w:r>
        <w:t>This policy applies to all trips paid for by the organisation.</w:t>
      </w:r>
    </w:p>
    <w:p>
      <w:r>
        <w:t>Book economy class for trips under six hours. Trains are preferred over flights when the journey takes less than five hours.</w:t>
      </w:r>
    </w:p>
    <w:p>
      <w:r>
        <w:t>Receipts must be submitted within 30 days of returning.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Allowance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Per diem, Sweden</w:t>
            </w:r>
          </w:p>
        </w:tc>
        <w:tc>
          <w:tcPr>
            <w:tcW w:type="dxa" w:w="4320"/>
          </w:tcPr>
          <w:p>
            <w:r>
              <w:t>290 SEK</w:t>
            </w:r>
          </w:p>
        </w:tc>
      </w:tr>
      <w:tr>
        <w:tc>
          <w:tcPr>
            <w:tcW w:type="dxa" w:w="4320"/>
          </w:tcPr>
          <w:p>
            <w:r>
              <w:t>Per diem, abroad</w:t>
            </w:r>
          </w:p>
        </w:tc>
        <w:tc>
          <w:tcPr>
            <w:tcW w:type="dxa" w:w="4320"/>
          </w:tcPr>
          <w:p>
            <w:r>
              <w:t>Per Skatteverket table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