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b/>
          <w:sz w:val="28"/>
          <w:szCs w:val="28"/>
        </w:rPr>
        <w:t>PONTIFÍCIA UNIVERSIDADE CATÓLICA DE MINAS GERAIS</w:t>
      </w:r>
      <w:r>
        <w:rPr>
          <w:rFonts w:cs="Arial" w:ascii="Arial" w:hAnsi="Arial"/>
          <w:b/>
          <w:sz w:val="24"/>
          <w:szCs w:val="24"/>
        </w:rPr>
        <w:br/>
      </w:r>
      <w:r>
        <w:rPr>
          <w:rFonts w:cs="Arial" w:ascii="Arial" w:hAnsi="Arial"/>
          <w:bCs/>
          <w:sz w:val="20"/>
          <w:szCs w:val="20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bCs/>
          <w:sz w:val="24"/>
          <w:szCs w:val="24"/>
        </w:rPr>
        <w:t xml:space="preserve">Pós-graduação </w:t>
      </w:r>
      <w:r>
        <w:rPr>
          <w:rFonts w:cs="Arial" w:ascii="Arial" w:hAnsi="Arial"/>
          <w:bCs/>
          <w:i/>
          <w:sz w:val="24"/>
          <w:szCs w:val="24"/>
        </w:rPr>
        <w:t>Lato Sensu</w:t>
      </w:r>
      <w:r>
        <w:rPr>
          <w:rFonts w:cs="Arial" w:ascii="Arial" w:hAnsi="Arial"/>
          <w:bCs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Anderson Claudino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center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PROPOSTA DE HEALTH MANAGEMENT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color w:val="222222"/>
          <w:sz w:val="24"/>
          <w:szCs w:val="24"/>
          <w:highlight w:val="white"/>
        </w:rPr>
        <w:t xml:space="preserve">  </w:t>
      </w:r>
      <w:r>
        <w:rPr>
          <w:rFonts w:cs="Arial" w:ascii="Arial" w:hAnsi="Arial"/>
          <w:color w:val="222222"/>
          <w:sz w:val="24"/>
          <w:szCs w:val="24"/>
          <w:highlight w:val="white"/>
          <w:lang w:eastAsia="en-US"/>
        </w:rPr>
        <w:t>2023</w:t>
      </w:r>
      <w:r>
        <w:rPr>
          <w:rFonts w:cs="Arial" w:ascii="Arial" w:hAnsi="Arial"/>
          <w:color w:val="222222"/>
          <w:sz w:val="24"/>
          <w:szCs w:val="24"/>
          <w:highlight w:val="white"/>
        </w:rPr>
        <w:t xml:space="preserve">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lineRule="auto" w:line="360" w:before="0" w:after="0"/>
            <w:jc w:val="both"/>
            <w:rPr>
              <w:rFonts w:ascii="Arial" w:hAnsi="Arial"/>
              <w:b/>
              <w:b/>
              <w:sz w:val="24"/>
              <w:lang w:eastAsia="pt-BR"/>
            </w:rPr>
          </w:pPr>
          <w:r>
            <w:fldChar w:fldCharType="begin"/>
          </w:r>
          <w:r>
            <w:rPr>
              <w:rStyle w:val="IndexLink"/>
              <w:sz w:val="24"/>
              <w:b/>
              <w:vanish w:val="false"/>
              <w:lang w:eastAsia="pt-BR"/>
            </w:rPr>
            <w:instrText> TOC \o "1-2" \h</w:instrText>
          </w:r>
          <w:r>
            <w:rPr>
              <w:rStyle w:val="IndexLink"/>
              <w:sz w:val="24"/>
              <w:b/>
              <w:vanish w:val="false"/>
              <w:lang w:eastAsia="pt-BR"/>
            </w:rPr>
            <w:fldChar w:fldCharType="separate"/>
          </w:r>
          <w:hyperlink w:anchor="_Toc74532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  <w:sz w:val="24"/>
                <w:lang w:eastAsia="pt-BR"/>
              </w:rPr>
              <w:t>1. Apresentação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88">
            <w:r>
              <w:rPr>
                <w:rStyle w:val="IndexLink"/>
                <w:rFonts w:cs="Arial"/>
                <w:vanish w:val="false"/>
                <w:lang w:eastAsia="pt-BR"/>
              </w:rPr>
              <w:t>1.1. Contexto</w:t>
            </w:r>
          </w:hyperlink>
          <w:hyperlink w:anchor="_Toc74532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89">
            <w:r>
              <w:rPr>
                <w:rStyle w:val="IndexLink"/>
                <w:rFonts w:cs="Arial"/>
                <w:vanish w:val="false"/>
                <w:lang w:eastAsia="pt-BR"/>
              </w:rPr>
              <w:t>1.1. Público alvo</w:t>
            </w:r>
          </w:hyperlink>
          <w:hyperlink w:anchor="_Toc74532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90">
            <w:r>
              <w:rPr>
                <w:rStyle w:val="IndexLink"/>
                <w:rFonts w:cs="Arial"/>
                <w:vanish w:val="false"/>
                <w:lang w:eastAsia="pt-BR"/>
              </w:rPr>
              <w:t>1.2. Requisitos</w:t>
            </w:r>
          </w:hyperlink>
          <w:hyperlink w:anchor="_Toc74532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7453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2. Modelagem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92">
            <w:r>
              <w:rPr>
                <w:rStyle w:val="IndexLink"/>
                <w:rFonts w:cs="Arial"/>
                <w:vanish w:val="false"/>
                <w:lang w:eastAsia="pt-BR"/>
              </w:rPr>
              <w:t>2.1. Diagrama de casos de uso</w:t>
            </w:r>
          </w:hyperlink>
          <w:hyperlink w:anchor="_Toc74532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93">
            <w:r>
              <w:rPr>
                <w:rStyle w:val="IndexLink"/>
                <w:vanish w:val="false"/>
                <w:lang w:eastAsia="pt-BR"/>
              </w:rPr>
              <w:t>2.2. Atores</w:t>
            </w:r>
          </w:hyperlink>
          <w:hyperlink w:anchor="_Toc74532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94">
            <w:r>
              <w:rPr>
                <w:rStyle w:val="IndexLink"/>
                <w:vanish w:val="false"/>
                <w:lang w:eastAsia="pt-BR"/>
              </w:rPr>
              <w:t>2.3. Detalhamento dos casos de uso</w:t>
            </w:r>
          </w:hyperlink>
          <w:hyperlink w:anchor="_Toc74532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95">
            <w:r>
              <w:rPr>
                <w:rStyle w:val="IndexLink"/>
                <w:vanish w:val="false"/>
                <w:lang w:eastAsia="pt-BR"/>
              </w:rPr>
              <w:t>2.4. Projeto de Interface</w:t>
            </w:r>
          </w:hyperlink>
          <w:hyperlink w:anchor="_Toc74532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96">
            <w:r>
              <w:rPr>
                <w:rStyle w:val="IndexLink"/>
                <w:vanish w:val="false"/>
                <w:lang w:eastAsia="pt-BR"/>
              </w:rPr>
              <w:t>2.5. Diagrama de classes</w:t>
            </w:r>
          </w:hyperlink>
          <w:hyperlink w:anchor="_Toc74532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7453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3. Projeto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98">
            <w:r>
              <w:rPr>
                <w:rStyle w:val="IndexLink"/>
                <w:vanish w:val="false"/>
                <w:lang w:eastAsia="pt-BR"/>
              </w:rPr>
              <w:t xml:space="preserve">3.1. Arquitetura de </w:t>
            </w:r>
          </w:hyperlink>
          <w:hyperlink w:anchor="_Toc74532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i/>
                <w:lang w:eastAsia="pt-BR"/>
              </w:rPr>
              <w:t>software</w:t>
            </w:r>
            <w:r>
              <w:rPr>
                <w:webHidden/>
              </w:rPr>
              <w:fldChar w:fldCharType="end"/>
            </w:r>
          </w:hyperlink>
          <w:hyperlink w:anchor="_Toc74532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099">
            <w:r>
              <w:rPr>
                <w:rStyle w:val="IndexLink"/>
                <w:vanish w:val="false"/>
                <w:lang w:eastAsia="pt-BR"/>
              </w:rPr>
              <w:t>3.2. Arquitetura da informação</w:t>
            </w:r>
          </w:hyperlink>
          <w:hyperlink w:anchor="_Toc74532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74532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4. Testes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7453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5. URLs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102">
            <w:r>
              <w:rPr>
                <w:rStyle w:val="IndexLink"/>
                <w:vanish w:val="false"/>
                <w:lang w:eastAsia="pt-BR"/>
              </w:rPr>
              <w:t>5.1. Aplicação web</w:t>
            </w:r>
          </w:hyperlink>
          <w:hyperlink w:anchor="_Toc74532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103">
            <w:r>
              <w:rPr>
                <w:rStyle w:val="IndexLink"/>
                <w:vanish w:val="false"/>
                <w:lang w:eastAsia="pt-BR"/>
              </w:rPr>
              <w:t>5.2. Repositório código-fonte</w:t>
            </w:r>
          </w:hyperlink>
          <w:hyperlink w:anchor="_Toc74532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74532104">
            <w:r>
              <w:rPr>
                <w:rStyle w:val="IndexLink"/>
                <w:vanish w:val="false"/>
                <w:lang w:eastAsia="pt-BR"/>
              </w:rPr>
              <w:t>5.3. Vídeo de apresentação do trabalho</w:t>
            </w:r>
          </w:hyperlink>
          <w:hyperlink w:anchor="_Toc74532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7453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REFERÊNCIAS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header="0" w:top="1701" w:footer="0" w:bottom="1134" w:gutter="0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uppressAutoHyphens w:val="true"/>
        <w:rPr>
          <w:lang w:val="pt-BR" w:eastAsia="pt-BR"/>
        </w:rPr>
      </w:pPr>
      <w:bookmarkStart w:id="0" w:name="_Toc74532087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right="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1" w:name="_Toc74532088"/>
      <w:bookmarkStart w:id="2" w:name="_Toc297133343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left="0" w:right="0" w:firstLine="70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74151"/>
          <w:spacing w:val="0"/>
          <w:sz w:val="24"/>
          <w:szCs w:val="24"/>
          <w:lang w:eastAsia="pt-BR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74151"/>
          <w:spacing w:val="0"/>
          <w:sz w:val="24"/>
          <w:szCs w:val="24"/>
          <w:lang w:eastAsia="pt-BR"/>
        </w:rPr>
        <w:t>No cenário atual, muitos pacientes enfrentam dificuldades para agendar consultas com especialistas, acessar resultados de exames e manter um histórico completo de saúde. Os profissionais de saúde, por outro lado, enfrentam desafios na gestão de suas agendas, no acompanhamento de pacientes e na interpretação de resultados de exames. Nesse contexto, a plataforma de gerenciamento de saúde proposta visa abordar essas questões por meio da automação de processos e da integração de informações.</w:t>
      </w:r>
    </w:p>
    <w:p>
      <w:pPr>
        <w:pStyle w:val="Heading2"/>
        <w:suppressAutoHyphens w:val="true"/>
        <w:rPr/>
      </w:pPr>
      <w:bookmarkStart w:id="3" w:name="_Toc74532089"/>
      <w:r>
        <w:rPr>
          <w:rFonts w:cs="Arial"/>
          <w:lang w:val="pt-BR" w:eastAsia="pt-BR"/>
        </w:rPr>
        <w:t>1.</w:t>
      </w:r>
      <w:r>
        <w:rPr>
          <w:rFonts w:cs="Arial"/>
          <w:lang w:val="pt-BR" w:eastAsia="pt-BR"/>
        </w:rPr>
        <w:t>2</w:t>
      </w:r>
      <w:r>
        <w:rPr>
          <w:rFonts w:cs="Arial"/>
          <w:lang w:val="pt-BR" w:eastAsia="pt-BR"/>
        </w:rPr>
        <w:t>. Público alvo</w:t>
      </w:r>
      <w:bookmarkEnd w:id="3"/>
    </w:p>
    <w:p>
      <w:pPr>
        <w:pStyle w:val="TextBody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 xml:space="preserve">O público-alvo da plataforma de gerenciamento de saúde proposta neste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trabalho</w:t>
      </w:r>
      <w:r>
        <w:rPr>
          <w:rFonts w:cs="Arial" w:ascii="Arial" w:hAnsi="Arial"/>
          <w:sz w:val="24"/>
          <w:szCs w:val="24"/>
          <w:lang w:eastAsia="pt-BR"/>
        </w:rPr>
        <w:t xml:space="preserve"> abrange diferentes segmentos da população, considerando tanto os usuários finais (pacientes) quanto os profissionais de saúde. A abordagem da plataforma é voltada para a criação de um ecossistema de saúde digital que atenda às necessidades de diversas personas dentro desse contexto. A seguir, descrevemos as principais categorias de público-alvo:</w:t>
      </w:r>
    </w:p>
    <w:p>
      <w:pPr>
        <w:pStyle w:val="TextBody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>1.</w:t>
      </w:r>
      <w:r>
        <w:rPr>
          <w:rFonts w:cs="Arial" w:ascii="Arial" w:hAnsi="Arial"/>
          <w:sz w:val="24"/>
          <w:szCs w:val="24"/>
          <w:lang w:eastAsia="pt-BR"/>
        </w:rPr>
        <w:t>2</w:t>
      </w:r>
      <w:r>
        <w:rPr>
          <w:rFonts w:cs="Arial" w:ascii="Arial" w:hAnsi="Arial"/>
          <w:sz w:val="24"/>
          <w:szCs w:val="24"/>
          <w:lang w:eastAsia="pt-BR"/>
        </w:rPr>
        <w:t>.1. Pacientes e Usuários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/>
        <w:t>Pacientes em Geral: Indivíduos que buscam assistência médica e cuidados de saúde, seja para consultas de rotina, tratamento de doenças crônicas, acompanhamento de condições de saúde ou realização de exames.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/>
        <w:t>Pacientes com necessidades Específicas: Inclui pacientes com necessidades especiais, idosos, gestantes e outros grupos que podem requerer serviços de saúde específicos.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/>
        <w:t>Cuidadores: Familiares ou amigos que cuidam de pacientes e desejam ter acesso fácil às informações de saúde e agendamento de consultas.</w:t>
      </w:r>
    </w:p>
    <w:p>
      <w:pPr>
        <w:pStyle w:val="TextBody"/>
        <w:spacing w:lineRule="auto" w:line="360"/>
        <w:ind w:left="709" w:right="0" w:hanging="0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1.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2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.2 Profissionais de Saúde: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Médicos: Médicos de diversas especialidades que desejam gerenciar suas agendas, acessar históricos de pacientes e se comunicar de forma eficaz com os pacientes.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Enfermeiros: Profissionais de enfermagem que trabalham em clínicas e hospitais, envolvidos no acompanhamento de pacientes e administração de cuidados.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Outros Profissionais de Saúde: Isso inclui fisioterapeutas, psicólogos, nutricionistas e outros especialistas de saúde que desejam usar a plataforma para oferecer serviços aos pacientes.</w:t>
      </w:r>
    </w:p>
    <w:p>
      <w:pPr>
        <w:pStyle w:val="TextBody"/>
        <w:spacing w:lineRule="auto" w:line="360"/>
        <w:ind w:left="709" w:right="0" w:hanging="0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1.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2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.3 Instituições de Saúde:</w:t>
      </w:r>
    </w:p>
    <w:p>
      <w:pPr>
        <w:pStyle w:val="TextBody"/>
        <w:numPr>
          <w:ilvl w:val="0"/>
          <w:numId w:val="9"/>
        </w:numPr>
        <w:spacing w:lineRule="auto" w:line="36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Clínicas Médicas: Clínicas privadas de diferentes tamanhos que desejam adotar a plataforma para melhorar a gestão de pacientes e serviços.</w:t>
      </w:r>
    </w:p>
    <w:p>
      <w:pPr>
        <w:pStyle w:val="TextBody"/>
        <w:numPr>
          <w:ilvl w:val="0"/>
          <w:numId w:val="9"/>
        </w:numPr>
        <w:spacing w:lineRule="auto" w:line="36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Hospitais: Hospitais que buscam integrar a plataforma em suas operações para melhorar o atendimento ao paciente e otimizar a utilização dos recursos.</w:t>
      </w:r>
    </w:p>
    <w:p>
      <w:pPr>
        <w:pStyle w:val="TextBody"/>
        <w:spacing w:lineRule="auto" w:line="360"/>
        <w:ind w:left="709" w:right="0" w:hanging="0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1.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2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.4 Empresas de Seguro de Saúde:</w:t>
      </w:r>
    </w:p>
    <w:p>
      <w:pPr>
        <w:pStyle w:val="TextBody"/>
        <w:numPr>
          <w:ilvl w:val="0"/>
          <w:numId w:val="10"/>
        </w:numPr>
        <w:spacing w:lineRule="auto" w:line="36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Operadoras de Planos de Saúde: Empresas que desejam fornecer acesso à plataforma como parte dos benefícios aos segurados, além de usar a plataforma para gerenciar autorizações e reembolsos de serviços médicos.</w:t>
      </w:r>
    </w:p>
    <w:p>
      <w:pPr>
        <w:pStyle w:val="Heading2"/>
        <w:suppressAutoHyphens w:val="true"/>
        <w:rPr>
          <w:rFonts w:ascii="Arial" w:hAnsi="Arial" w:eastAsia="Times New Roman" w:cs="Arial"/>
          <w:b/>
          <w:b/>
          <w:bCs/>
          <w:iCs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/>
          <w:b/>
          <w:bCs/>
          <w:iCs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eastAsia="Times New Roman" w:cs="Arial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Arial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  <w:t>1.3. Business Model Canvas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3285" cy="3328035"/>
            <wp:effectExtent l="0" t="0" r="0" b="0"/>
            <wp:wrapSquare wrapText="largest"/>
            <wp:docPr id="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uppressAutoHyphens w:val="true"/>
        <w:rPr>
          <w:lang w:val="pt-BR" w:eastAsia="pt-BR"/>
        </w:rPr>
      </w:pPr>
      <w:r>
        <w:rPr>
          <w:lang w:val="pt-BR" w:eastAsia="pt-BR"/>
        </w:rPr>
      </w:r>
    </w:p>
    <w:p>
      <w:pPr>
        <w:pStyle w:val="Heading2"/>
        <w:suppressAutoHyphens w:val="true"/>
        <w:rPr/>
      </w:pPr>
      <w:bookmarkStart w:id="4" w:name="_Toc74532090"/>
      <w:r>
        <w:rPr>
          <w:rFonts w:cs="Arial"/>
          <w:lang w:val="pt-BR" w:eastAsia="pt-BR"/>
        </w:rPr>
        <w:t>1.</w:t>
      </w:r>
      <w:r>
        <w:rPr>
          <w:rFonts w:cs="Arial"/>
          <w:lang w:val="pt-BR" w:eastAsia="pt-BR"/>
        </w:rPr>
        <w:t>4</w:t>
      </w:r>
      <w:r>
        <w:rPr>
          <w:rFonts w:cs="Arial"/>
          <w:lang w:val="pt-BR" w:eastAsia="pt-BR"/>
        </w:rPr>
        <w:t>. Requisitos</w:t>
      </w:r>
      <w:bookmarkEnd w:id="4"/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Criar usuarios;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Mostrar lista de usuários;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>Criar consultas</w:t>
      </w:r>
      <w:r>
        <w:rPr>
          <w:rFonts w:cs="Arial" w:ascii="Arial" w:hAnsi="Arial"/>
          <w:sz w:val="24"/>
          <w:szCs w:val="24"/>
          <w:lang w:eastAsia="pt-BR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>Mostrar consultas</w:t>
      </w:r>
      <w:r>
        <w:rPr>
          <w:rFonts w:cs="Arial" w:ascii="Arial" w:hAnsi="Arial"/>
          <w:sz w:val="24"/>
          <w:szCs w:val="24"/>
          <w:lang w:eastAsia="pt-BR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Concluir consultas;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Criar exames;</w:t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  <w:t>1.5. Wireframe</w:t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746500"/>
            <wp:effectExtent l="0" t="0" r="0" b="0"/>
            <wp:wrapSquare wrapText="largest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  <w:t xml:space="preserve">Link do project wireframe online: </w:t>
      </w:r>
      <w:hyperlink r:id="rId4">
        <w:r>
          <w:rPr>
            <w:rStyle w:val="InternetLink"/>
          </w:rPr>
          <w:t>Wireframe project</w:t>
        </w:r>
      </w:hyperlink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1440" w:right="0" w:hanging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ListParagraph"/>
        <w:suppressAutoHyphens w:val="true"/>
        <w:spacing w:lineRule="auto" w:line="360"/>
        <w:ind w:left="720" w:right="0" w:hanging="0"/>
        <w:jc w:val="both"/>
        <w:rPr>
          <w:rFonts w:ascii="Arial" w:hAnsi="Arial" w:eastAsia="Times New Roman" w:cs="Arial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Arial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ListParagraph"/>
        <w:suppressAutoHyphens w:val="true"/>
        <w:spacing w:lineRule="auto" w:line="360"/>
        <w:ind w:left="720" w:right="0" w:hanging="0"/>
        <w:jc w:val="both"/>
        <w:rPr>
          <w:rFonts w:ascii="Arial" w:hAnsi="Arial" w:eastAsia="Times New Roman" w:cs="Arial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Arial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Heading1"/>
        <w:suppressAutoHyphens w:val="true"/>
        <w:rPr>
          <w:lang w:val="pt-BR" w:eastAsia="pt-BR"/>
        </w:rPr>
      </w:pPr>
      <w:r>
        <w:rPr>
          <w:lang w:val="pt-BR"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r>
        <w:rPr>
          <w:lang w:val="pt-BR"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5" w:name="_Toc74532091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6" w:name="_Toc74532092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left="0" w:right="0"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drawing>
          <wp:inline distT="0" distB="0" distL="0" distR="0">
            <wp:extent cx="4572000" cy="258127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uppressAutoHyphens w:val="true"/>
        <w:rPr>
          <w:lang w:val="pt-BR" w:eastAsia="pt-BR"/>
        </w:rPr>
      </w:pPr>
      <w:bookmarkStart w:id="7" w:name="_Toc74532093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numPr>
          <w:ilvl w:val="0"/>
          <w:numId w:val="6"/>
        </w:numPr>
        <w:suppressAutoHyphens w:val="true"/>
        <w:rPr>
          <w:lang w:val="pt-BR" w:eastAsia="pt-BR"/>
        </w:rPr>
      </w:pPr>
      <w:r>
        <w:rPr>
          <w:lang w:val="pt-BR" w:eastAsia="pt-BR"/>
        </w:rPr>
        <w:t>Cliente, pode acessar resultados da consulta médica e resultados de laboratório;</w:t>
      </w:r>
    </w:p>
    <w:p>
      <w:pPr>
        <w:pStyle w:val="Normal"/>
        <w:numPr>
          <w:ilvl w:val="0"/>
          <w:numId w:val="5"/>
        </w:numPr>
        <w:suppressAutoHyphens w:val="true"/>
        <w:rPr>
          <w:lang w:val="pt-BR" w:eastAsia="pt-BR"/>
        </w:rPr>
      </w:pPr>
      <w:r>
        <w:rPr>
          <w:lang w:val="pt-BR" w:eastAsia="pt-BR"/>
        </w:rPr>
        <w:t>Médicos, podem gerar uma receita médica e fazer uma solicitação de para um exame;</w:t>
      </w:r>
    </w:p>
    <w:p>
      <w:pPr>
        <w:pStyle w:val="Normal"/>
        <w:numPr>
          <w:ilvl w:val="0"/>
          <w:numId w:val="4"/>
        </w:numPr>
        <w:suppressAutoHyphens w:val="true"/>
        <w:rPr/>
      </w:pPr>
      <w:r>
        <w:rPr>
          <w:lang w:val="pt-BR" w:eastAsia="pt-BR"/>
        </w:rPr>
        <w:t>Laboratórios podem realizar um exame;</w:t>
      </w:r>
    </w:p>
    <w:p>
      <w:pPr>
        <w:pStyle w:val="Heading2"/>
        <w:rPr/>
      </w:pPr>
      <w:bookmarkStart w:id="8" w:name="_Toc74532096"/>
      <w:r>
        <w:rPr>
          <w:lang w:eastAsia="pt-BR"/>
        </w:rPr>
        <w:t>2.</w:t>
      </w:r>
      <w:r>
        <w:rPr>
          <w:lang w:val="pt-BR" w:eastAsia="pt-BR"/>
        </w:rPr>
        <w:t>3</w:t>
      </w:r>
      <w:r>
        <w:rPr>
          <w:lang w:eastAsia="pt-BR"/>
        </w:rPr>
        <w:t>. Diagrama de classes</w:t>
      </w:r>
      <w:bookmarkEnd w:id="8"/>
    </w:p>
    <w:p>
      <w:pPr>
        <w:pStyle w:val="Normal"/>
        <w:rPr>
          <w:lang w:eastAsia="pt-BR"/>
        </w:rPr>
      </w:pPr>
      <w:r>
        <w:rPr>
          <w:lang w:eastAsia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34925</wp:posOffset>
            </wp:positionV>
            <wp:extent cx="3092450" cy="28359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suppressAutoHyphens w:val="true"/>
        <w:spacing w:lineRule="auto" w:line="360"/>
        <w:ind w:left="0" w:right="0"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left="0" w:right="0"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left="0" w:right="0"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1"/>
        <w:suppressAutoHyphens w:val="true"/>
        <w:rPr>
          <w:lang w:eastAsia="pt-BR"/>
        </w:rPr>
      </w:pPr>
      <w:bookmarkStart w:id="9" w:name="_Toc74532097"/>
      <w:r>
        <w:rPr>
          <w:lang w:val="pt-BR" w:eastAsia="pt-BR"/>
        </w:rPr>
        <w:t>3. Projeto</w:t>
      </w:r>
      <w:bookmarkEnd w:id="9"/>
    </w:p>
    <w:p>
      <w:pPr>
        <w:pStyle w:val="Heading2"/>
        <w:rPr/>
      </w:pPr>
      <w:bookmarkStart w:id="10" w:name="_Toc74532098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0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760" cy="363283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/>
      </w:pPr>
      <w:r>
        <w:rPr>
          <w:lang w:eastAsia="pt-BR"/>
        </w:rPr>
        <w:t xml:space="preserve"> </w:t>
      </w:r>
      <w:bookmarkStart w:id="11" w:name="_Toc74532099"/>
      <w:r>
        <w:rPr>
          <w:lang w:eastAsia="pt-BR"/>
        </w:rPr>
        <w:t xml:space="preserve"> </w:t>
      </w:r>
      <w:bookmarkEnd w:id="11"/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x-none" w:eastAsia="pt-BR" w:bidi="ar-S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x-none" w:eastAsia="pt-BR" w:bidi="ar-SA"/>
        </w:rPr>
        <w:t xml:space="preserve">3.2. Definição </w:t>
      </w: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x-none" w:eastAsia="pt-BR" w:bidi="ar-SA"/>
        </w:rPr>
        <w:t>de F</w:t>
      </w: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x-none" w:eastAsia="pt-BR" w:bidi="ar-SA"/>
        </w:rPr>
        <w:t>ramework</w:t>
      </w: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x-none" w:eastAsia="pt-BR" w:bidi="ar-SA"/>
        </w:rPr>
        <w:t>s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  <w:tab/>
      </w:r>
      <w:r>
        <w:rPr>
          <w:rFonts w:eastAsia="Calibri" w:cs="Arial" w:ascii="Arial" w:hAnsi="Arial"/>
          <w:b w:val="false"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Para o desenvolvimento da plataforma de gerenciamento de saúde, foram escolhidos cuidadosamente frameworks e tecnologias que atendam aos requisitos específicos do projeto. Essas escolhas visam garantir a eficiência, a segurança e a escalabilidade da plataforma, além de proporcionar uma ótima experiência para os usuários finais e os profissionais de saúde envolvidos.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Arial" w:hAnsi="Arial"/>
          <w:b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8"/>
          <w:lang w:val="x-none" w:eastAsia="pt-BR" w:bidi="ar-SA"/>
        </w:rPr>
        <w:t xml:space="preserve">3.2.1. Front-End com Next.js </w:t>
      </w:r>
      <w:r>
        <w:rPr>
          <w:rFonts w:eastAsia="Times New Roman" w:cs="Times New Roman" w:ascii="Arial" w:hAnsi="Arial"/>
          <w:b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8"/>
          <w:lang w:val="x-none" w:eastAsia="pt-BR" w:bidi="ar-SA"/>
        </w:rPr>
        <w:t>(JavaScript)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  <w:tab/>
      </w:r>
      <w:r>
        <w:rPr>
          <w:rFonts w:eastAsia="Calibri" w:cs="Arial" w:ascii="Arial" w:hAnsi="Arial"/>
          <w:b w:val="false"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O framework Next.js, baseado em JavaScript, será a espinha dorsal do desenvolvimento do front-end da plataforma. Ele oferece benefícios significativos, como renderização no lado do servidor (SSR), facilidade de criação de páginas estáticas e dinâmicas, roteamento simplificado e suporte para Progressive Web Apps (PWAs). Isso garantirá uma experiência de usuário responsiva, rápida e acessível.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Times New Roman"/>
          <w:b/>
          <w:b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Arial" w:hAnsi="Arial"/>
          <w:b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8"/>
          <w:lang w:val="x-none" w:eastAsia="pt-BR" w:bidi="ar-SA"/>
        </w:rPr>
        <w:t>3.2.2. Back-End com Spring Boot (Java)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  <w:tab/>
      </w:r>
      <w:r>
        <w:rPr>
          <w:rFonts w:eastAsia="Calibri" w:cs="Arial" w:ascii="Arial" w:hAnsi="Arial"/>
          <w:b w:val="false"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O Spring Boot, com sua robustez e eficiência, será utilizado no desenvolvimento do back-end da plataforma. Como uma estrutura Java amplamente adotada, o Spring Boot facilita a criação de APIs RESTful, gerenciamento de autenticação, segurança e integração com o PostgreSQL. Sua flexibilidade e escalabilidade serão essenciais para a gestão de dados de saúde e o suporte a um grande número de usuários e profissionais de saúde.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Times New Roman"/>
          <w:b/>
          <w:b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Arial" w:hAnsi="Arial"/>
          <w:b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8"/>
          <w:lang w:val="x-none" w:eastAsia="pt-BR" w:bidi="ar-SA"/>
        </w:rPr>
        <w:t>3.2.3. Banc</w:t>
      </w:r>
      <w:r>
        <w:rPr>
          <w:rFonts w:eastAsia="Times New Roman" w:cs="Times New Roman" w:ascii="Arial" w:hAnsi="Arial"/>
          <w:b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8"/>
          <w:lang w:val="x-none" w:eastAsia="pt-BR" w:bidi="ar-SA"/>
        </w:rPr>
        <w:t>o</w:t>
      </w:r>
      <w:r>
        <w:rPr>
          <w:rFonts w:eastAsia="Times New Roman" w:cs="Times New Roman" w:ascii="Arial" w:hAnsi="Arial"/>
          <w:b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8"/>
          <w:lang w:val="x-none" w:eastAsia="pt-BR" w:bidi="ar-SA"/>
        </w:rPr>
        <w:t xml:space="preserve"> de Dados PostgreSQL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iCs/>
          <w:caps w:val="false"/>
          <w:smallCaps w:val="false"/>
          <w:color w:val="374151"/>
          <w:spacing w:val="0"/>
          <w:kern w:val="0"/>
          <w:sz w:val="24"/>
          <w:szCs w:val="28"/>
          <w:lang w:val="x-none" w:eastAsia="pt-BR" w:bidi="ar-SA"/>
        </w:rPr>
        <w:tab/>
      </w:r>
      <w:r>
        <w:rPr>
          <w:rFonts w:eastAsia="Calibri" w:cs="Arial" w:ascii="Arial" w:hAnsi="Arial"/>
          <w:b w:val="false"/>
          <w:bCs/>
          <w:i w:val="false"/>
          <w:iCs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O PostgreSQL foi escolhido como o sistema de gerenciamento de banco de dados (DBMS) da plataforma devido à sua confiabilidade, desempenho e recursos avançados. Ele é altamente adequado para armazenar com segurança informações sensíveis de saúde dos pacientes, permitindo consultas complexas e escalabilidade horizontal quando necessário.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rPr>
          <w:lang w:eastAsia="pt-BR"/>
        </w:rPr>
      </w:pPr>
      <w:bookmarkStart w:id="12" w:name="_Toc74532100"/>
      <w:r>
        <w:rPr>
          <w:lang w:eastAsia="pt-BR"/>
        </w:rPr>
        <w:t>4. Testes</w:t>
      </w:r>
      <w:bookmarkEnd w:id="12"/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720" w:right="0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renderização das telas;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720" w:right="0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retorna o token de acesso;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720" w:right="0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cadastra um cardápio para um cliente;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720" w:right="0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retorna um cardápio para um cliente;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720" w:right="0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retorna todos os nutricionistas;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720" w:right="0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Testar se o endpoint retorna os parâmetros do cliente;</w:t>
      </w:r>
    </w:p>
    <w:p>
      <w:pPr>
        <w:pStyle w:val="ListParagraph"/>
        <w:bidi w:val="0"/>
        <w:spacing w:lineRule="auto" w:line="360" w:before="0" w:after="0"/>
        <w:ind w:left="720" w:right="0" w:hanging="36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cs="Calibri"/>
          <w:i/>
          <w:i/>
          <w:iCs/>
          <w:sz w:val="22"/>
          <w:szCs w:val="22"/>
        </w:rPr>
      </w:pPr>
      <w:r>
        <w:rPr>
          <w:rFonts w:cs="Calibri"/>
          <w:i/>
          <w:iCs/>
          <w:sz w:val="22"/>
          <w:szCs w:val="22"/>
        </w:rPr>
        <w:t>4.1 Relatório de testes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Arial" w:hAnsi="Arial" w:eastAsia="Times New Roman" w:cs="Calibri"/>
          <w:b/>
          <w:b/>
          <w:bCs/>
          <w:i/>
          <w:i/>
          <w:iCs/>
          <w:color w:val="auto"/>
          <w:kern w:val="0"/>
          <w:sz w:val="22"/>
          <w:szCs w:val="22"/>
          <w:lang w:val="pt-BR" w:eastAsia="pt-BR" w:bidi="ar-SA"/>
        </w:rPr>
      </w:pPr>
      <w:r>
        <w:rPr>
          <w:rFonts w:eastAsia="Times New Roman" w:cs="Calibri" w:ascii="Arial" w:hAnsi="Arial"/>
          <w:b/>
          <w:bCs/>
          <w:i/>
          <w:iCs/>
          <w:color w:val="auto"/>
          <w:kern w:val="0"/>
          <w:sz w:val="22"/>
          <w:szCs w:val="22"/>
          <w:lang w:val="pt-BR" w:eastAsia="pt-BR" w:bidi="ar-SA"/>
        </w:rPr>
        <w:t>Labs-api:</w:t>
      </w:r>
    </w:p>
    <w:p>
      <w:pPr>
        <w:pStyle w:val="Heading2"/>
        <w:spacing w:lineRule="auto" w:line="360" w:before="0" w:after="0"/>
        <w:ind w:left="0" w:right="0" w:hanging="0"/>
        <w:jc w:val="both"/>
        <w:rPr>
          <w:rFonts w:cs="Calibri"/>
          <w:i/>
          <w:i/>
          <w:iCs/>
          <w:sz w:val="22"/>
          <w:szCs w:val="22"/>
          <w:lang w:val="pt-BR" w:eastAsia="pt-BR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567815"/>
            <wp:effectExtent l="0" t="0" r="0" b="0"/>
            <wp:wrapSquare wrapText="largest"/>
            <wp:docPr id="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i/>
          <w:iCs/>
          <w:sz w:val="22"/>
          <w:szCs w:val="22"/>
          <w:lang w:val="pt-BR" w:eastAsia="pt-BR"/>
        </w:rPr>
        <w:t>M</w:t>
      </w:r>
      <w:r>
        <w:rPr>
          <w:rFonts w:cs="Calibri"/>
          <w:i/>
          <w:iCs/>
          <w:sz w:val="22"/>
          <w:szCs w:val="22"/>
          <w:lang w:val="pt-BR" w:eastAsia="pt-BR"/>
        </w:rPr>
        <w:t>edical-api: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cs="Calibri"/>
          <w:i/>
          <w:i/>
          <w:iCs/>
          <w:sz w:val="22"/>
          <w:szCs w:val="22"/>
        </w:rPr>
      </w:pPr>
      <w:r>
        <w:rPr>
          <w:rFonts w:cs="Calibri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-24130</wp:posOffset>
            </wp:positionH>
            <wp:positionV relativeFrom="paragraph">
              <wp:posOffset>76835</wp:posOffset>
            </wp:positionV>
            <wp:extent cx="5760085" cy="1803400"/>
            <wp:effectExtent l="0" t="0" r="0" b="0"/>
            <wp:wrapSquare wrapText="largest"/>
            <wp:docPr id="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Calibri"/>
          <w:b/>
          <w:b/>
          <w:bCs/>
          <w:i/>
          <w:i/>
          <w:iCs/>
          <w:color w:val="auto"/>
          <w:kern w:val="0"/>
          <w:sz w:val="22"/>
          <w:szCs w:val="22"/>
          <w:lang w:val="pt-BR" w:eastAsia="pt-BR" w:bidi="ar-SA"/>
        </w:rPr>
      </w:pPr>
      <w:r>
        <w:rPr>
          <w:rFonts w:eastAsia="Times New Roman" w:cs="Calibri" w:ascii="Arial" w:hAnsi="Arial"/>
          <w:b/>
          <w:bCs/>
          <w:i/>
          <w:iCs/>
          <w:color w:val="auto"/>
          <w:kern w:val="0"/>
          <w:sz w:val="22"/>
          <w:szCs w:val="22"/>
          <w:lang w:val="pt-BR" w:eastAsia="pt-BR" w:bidi="ar-SA"/>
        </w:rPr>
        <w:t>User-api:</w:t>
      </w:r>
    </w:p>
    <w:p>
      <w:pPr>
        <w:pStyle w:val="Heading1"/>
        <w:rPr/>
      </w:pPr>
      <w:bookmarkStart w:id="13" w:name="_Toc74532101"/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-55245</wp:posOffset>
            </wp:positionH>
            <wp:positionV relativeFrom="paragraph">
              <wp:posOffset>133985</wp:posOffset>
            </wp:positionV>
            <wp:extent cx="5760085" cy="1591310"/>
            <wp:effectExtent l="0" t="0" r="0" b="0"/>
            <wp:wrapSquare wrapText="largest"/>
            <wp:docPr id="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>5</w:t>
      </w:r>
      <w:r>
        <w:rPr>
          <w:lang w:eastAsia="pt-BR"/>
        </w:rPr>
        <w:t>. URL</w:t>
      </w:r>
      <w:r>
        <w:rPr>
          <w:lang w:val="pt-BR" w:eastAsia="pt-BR"/>
        </w:rPr>
        <w:t>s</w:t>
      </w:r>
      <w:bookmarkEnd w:id="13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/>
      </w:pPr>
      <w:bookmarkStart w:id="14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4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Arial" w:ascii="Arial" w:hAnsi="Arial"/>
          <w:sz w:val="24"/>
          <w:szCs w:val="24"/>
          <w:lang w:eastAsia="pt-BR"/>
        </w:rPr>
        <w:t>URL onde estará disponível: http://health-management-pos-tccpuc.online/login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http://54.80.8.44/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login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rPr/>
      </w:pPr>
      <w:bookmarkStart w:id="15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5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endereço do código fonte se encontra em :</w:t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Serviço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Repositório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Repositório FluxCD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https://github.com/theander/fleet-infra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Frontend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https://github.com/theander/health-management-frontend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API usuarios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https://github.com/theander/health-management-user-api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API médicos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https://github.com/theander/health-management-medical-api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API laboratórios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https://github.com/theander/health-management-labs-api</w:t>
            </w:r>
          </w:p>
        </w:tc>
      </w:tr>
    </w:tbl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rPr/>
      </w:pPr>
      <w:bookmarkStart w:id="16" w:name="_Toc745321031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bookmarkEnd w:id="16"/>
      <w:r>
        <w:rPr>
          <w:lang w:val="pt-BR" w:eastAsia="pt-BR"/>
        </w:rPr>
        <w:t>Especificação das API’s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tbl>
      <w:tblPr>
        <w:tblW w:w="90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4"/>
        <w:gridCol w:w="4541"/>
      </w:tblGrid>
      <w:tr>
        <w:trPr/>
        <w:tc>
          <w:tcPr>
            <w:tcW w:w="4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Serviço</w:t>
            </w:r>
          </w:p>
        </w:tc>
        <w:tc>
          <w:tcPr>
            <w:tcW w:w="4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Repositório</w:t>
            </w:r>
          </w:p>
        </w:tc>
      </w:tr>
      <w:tr>
        <w:trPr/>
        <w:tc>
          <w:tcPr>
            <w:tcW w:w="45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Especificação usuarios</w:t>
            </w:r>
          </w:p>
        </w:tc>
        <w:tc>
          <w:tcPr>
            <w:tcW w:w="4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https://github.com/theander/health-management-user-api/blob/master/src/main/resources/static/api.json</w:t>
            </w:r>
          </w:p>
        </w:tc>
      </w:tr>
      <w:tr>
        <w:trPr/>
        <w:tc>
          <w:tcPr>
            <w:tcW w:w="45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Especificação médicos</w:t>
            </w:r>
          </w:p>
        </w:tc>
        <w:tc>
          <w:tcPr>
            <w:tcW w:w="4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https://github.com/theander/health-management-medical-api/blob/main/src/main/resources/static/api.json</w:t>
            </w:r>
          </w:p>
        </w:tc>
      </w:tr>
      <w:tr>
        <w:trPr/>
        <w:tc>
          <w:tcPr>
            <w:tcW w:w="45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Especificação laboratórios</w:t>
            </w:r>
          </w:p>
        </w:tc>
        <w:tc>
          <w:tcPr>
            <w:tcW w:w="4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https://github.com/theander/health-management-labs-api/blob/main/src/main/resources/static/api.json</w:t>
            </w:r>
          </w:p>
        </w:tc>
      </w:tr>
    </w:tbl>
    <w:p>
      <w:pPr>
        <w:pStyle w:val="Heading2"/>
        <w:rPr>
          <w:lang w:val="pt-BR" w:eastAsia="pt-BR"/>
        </w:rPr>
      </w:pPr>
      <w:r>
        <w:rPr>
          <w:lang w:val="pt-BR" w:eastAsia="pt-BR"/>
        </w:rPr>
      </w:r>
    </w:p>
    <w:p>
      <w:pPr>
        <w:pStyle w:val="Heading2"/>
        <w:rPr>
          <w:lang w:val="pt-BR" w:eastAsia="pt-BR"/>
        </w:rPr>
      </w:pPr>
      <w:r>
        <w:rPr>
          <w:lang w:val="pt-BR" w:eastAsia="pt-BR"/>
        </w:rPr>
      </w:r>
    </w:p>
    <w:p>
      <w:pPr>
        <w:pStyle w:val="Heading2"/>
        <w:rPr>
          <w:lang w:val="pt-BR" w:eastAsia="pt-BR"/>
        </w:rPr>
      </w:pPr>
      <w:r>
        <w:rPr>
          <w:lang w:val="pt-BR" w:eastAsia="pt-BR"/>
        </w:rPr>
        <w:t>5.4. Repositório de imagens:</w:t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Serviço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Repositório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Frontend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https://hub.docker.com/repository/docker/andercl/health-management-frontend/general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API usuarios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https://hub.docker.com/repository/docker/andercl/health-management-user-api/general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API médicos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https://hub.docker.com/repository/docker/andercl/health-management-medical-api/general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API laboratórios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https://hub.docker.com/repository/docker/andercl/health-management-labs-api/general</w:t>
            </w:r>
          </w:p>
        </w:tc>
      </w:tr>
    </w:tbl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Heading2"/>
        <w:rPr/>
      </w:pPr>
      <w:bookmarkStart w:id="17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5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7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Times New Roman" w:cs="Arial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4"/>
          <w:lang w:val="pt-BR" w:eastAsia="pt-BR" w:bidi="ar-SA"/>
        </w:rPr>
        <w:t>O video foi postado na plataforma canvas.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Heading2"/>
        <w:suppressAutoHyphens w:val="true"/>
        <w:spacing w:lineRule="auto" w:line="360" w:before="0" w:after="0"/>
        <w:ind w:left="0" w:right="0" w:hanging="0"/>
        <w:jc w:val="both"/>
        <w:rPr/>
      </w:pPr>
      <w:r>
        <w:rPr>
          <w:rFonts w:cs="Calibri"/>
          <w:i/>
          <w:sz w:val="24"/>
          <w:szCs w:val="24"/>
          <w:lang w:val="pt-BR" w:eastAsia="pt-BR"/>
        </w:rPr>
        <w:t>5</w:t>
      </w:r>
      <w:r>
        <w:rPr>
          <w:rFonts w:cs="Calibri"/>
          <w:i/>
          <w:sz w:val="24"/>
          <w:szCs w:val="24"/>
          <w:lang w:eastAsia="pt-BR"/>
        </w:rPr>
        <w:t>.</w:t>
      </w:r>
      <w:r>
        <w:rPr>
          <w:rFonts w:cs="Calibri"/>
          <w:i/>
          <w:sz w:val="24"/>
          <w:szCs w:val="24"/>
          <w:lang w:val="pt-BR" w:eastAsia="pt-BR"/>
        </w:rPr>
        <w:t>5</w:t>
      </w:r>
      <w:r>
        <w:rPr>
          <w:rFonts w:cs="Calibri"/>
          <w:i/>
          <w:sz w:val="24"/>
          <w:szCs w:val="24"/>
          <w:lang w:eastAsia="pt-BR"/>
        </w:rPr>
        <w:t xml:space="preserve">. Screen shots </w:t>
      </w:r>
      <w:r>
        <w:rPr>
          <w:rFonts w:cs="Calibri"/>
          <w:i/>
          <w:sz w:val="24"/>
          <w:szCs w:val="24"/>
          <w:lang w:val="pt-BR" w:eastAsia="pt-BR"/>
        </w:rPr>
        <w:t>da aplicação</w:t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both"/>
        <w:rPr>
          <w:lang w:val="pt-BR" w:eastAsia="pt-BR"/>
        </w:rPr>
      </w:pPr>
      <w:r>
        <w:rPr>
          <w:lang w:val="pt-BR" w:eastAsia="pt-BR"/>
        </w:rPr>
      </w:r>
    </w:p>
    <w:p>
      <w:pPr>
        <w:pStyle w:val="Heading2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  <w:t>Tela de login</w:t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1251585</wp:posOffset>
            </wp:positionH>
            <wp:positionV relativeFrom="paragraph">
              <wp:posOffset>52705</wp:posOffset>
            </wp:positionV>
            <wp:extent cx="3293745" cy="167195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  <w:t>Tela inicial ADMIN:</w:t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0960" cy="174498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  <w:t xml:space="preserve">Tela para gerenciar usuários: </w:t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8840" cy="216408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  <w:t>Tela inicial medical:</w:t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156972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  <w:t>Opção medical:</w:t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0780" cy="97409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Times New Roman"/>
          <w:b/>
          <w:b/>
          <w:bCs/>
          <w:iCs/>
          <w:color w:val="auto"/>
          <w:kern w:val="0"/>
          <w:sz w:val="24"/>
          <w:szCs w:val="28"/>
          <w:lang w:val="pt-BR" w:eastAsia="pt-BR" w:bidi="ar-SA"/>
        </w:rPr>
      </w:pP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4"/>
          <w:szCs w:val="28"/>
          <w:lang w:val="pt-BR" w:eastAsia="pt-BR" w:bidi="ar-SA"/>
        </w:rPr>
        <w:t>Tela inicial Lab:</w:t>
      </w:r>
    </w:p>
    <w:p>
      <w:pPr>
        <w:pStyle w:val="Normal"/>
        <w:suppressAutoHyphens w:val="true"/>
        <w:jc w:val="left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0160" cy="1544320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/>
      </w:pPr>
      <w:r>
        <w:rPr/>
        <w:t>Opções para tela Lab:</w:t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9340" cy="1772285"/>
            <wp:effectExtent l="0" t="0" r="0" b="0"/>
            <wp:wrapSquare wrapText="largest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/>
      </w:pPr>
      <w:r>
        <w:rPr/>
        <w:t>Tela de exames:</w:t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2960" cy="1624330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left"/>
        <w:rPr/>
      </w:pPr>
      <w:r>
        <w:rPr/>
        <w:t>Tela de exames concluidos:</w:t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4410" cy="1456055"/>
            <wp:effectExtent l="0" t="0" r="0" b="0"/>
            <wp:wrapSquare wrapText="largest"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left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Normal"/>
        <w:suppressAutoHyphens w:val="true"/>
        <w:jc w:val="center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jc w:val="center"/>
        <w:rPr/>
      </w:pPr>
      <w:bookmarkStart w:id="18" w:name="_Toc74532105"/>
      <w:bookmarkStart w:id="19" w:name="_Toc351475134"/>
      <w:bookmarkStart w:id="20" w:name="_Toc297133353"/>
      <w:r>
        <w:rPr/>
        <w:t>REFERÊNCIAS</w:t>
      </w:r>
      <w:bookmarkEnd w:id="18"/>
      <w:bookmarkEnd w:id="19"/>
      <w:bookmarkEnd w:id="20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um projeto de aplicativo não requer revisão bibliográfica, a inclusão das referências não é obrigatória. No entanto, caso você deseje incluir referências relacionadas às tecnologias ou às metodologias que foram usadas no seu trabalho, relacione-as de acordo com o modelo a seguir.</w:t>
      </w:r>
    </w:p>
    <w:p>
      <w:pPr>
        <w:pStyle w:val="Normal"/>
        <w:suppressAutoHyphens w:val="true"/>
        <w:spacing w:lineRule="auto" w:line="240" w:before="20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bCs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/>
      </w:pPr>
      <w:r>
        <w:rPr/>
      </w:r>
    </w:p>
    <w:sectPr>
      <w:headerReference w:type="default" r:id="rId20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c7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Symbol">
    <w:charset w:val="c7"/>
    <w:family w:val="auto"/>
    <w:pitch w:val="default"/>
  </w:font>
  <w:font w:name="Courier New">
    <w:charset w:val="01"/>
    <w:family w:val="auto"/>
    <w:pitch w:val="default"/>
  </w:font>
  <w:font w:name="Wingdings">
    <w:charset w:val="c7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>
    <w:name w:val="Default Paragraph Font"/>
    <w:qFormat/>
    <w:rPr/>
  </w:style>
  <w:style w:type="character" w:styleId="Longtext">
    <w:name w:val="long_text"/>
    <w:basedOn w:val="DefaultParagraphFont"/>
    <w:qFormat/>
    <w:rPr/>
  </w:style>
  <w:style w:type="character" w:styleId="TextodenotaderodapChar">
    <w:name w:val="Texto de nota de rodapé Char"/>
    <w:qFormat/>
    <w:rPr>
      <w:rFonts w:ascii="Calibri" w:hAnsi="Calibri" w:eastAsia="Calibri" w:cs="Times New Roman"/>
      <w:lang w:eastAsia="en-US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bealhoChar">
    <w:name w:val="Cabeçalho Char"/>
    <w:qFormat/>
    <w:rPr>
      <w:sz w:val="22"/>
      <w:szCs w:val="22"/>
      <w:lang w:eastAsia="en-US"/>
    </w:rPr>
  </w:style>
  <w:style w:type="character" w:styleId="RodapChar">
    <w:name w:val="Rodapé Char"/>
    <w:qFormat/>
    <w:rPr>
      <w:sz w:val="22"/>
      <w:szCs w:val="22"/>
      <w:lang w:eastAsia="en-US"/>
    </w:rPr>
  </w:style>
  <w:style w:type="character" w:styleId="InternetLink">
    <w:name w:val="Hyperlink"/>
    <w:rPr>
      <w:color w:val="0000FF"/>
      <w:u w:val="single"/>
    </w:rPr>
  </w:style>
  <w:style w:type="character" w:styleId="Ttulo1Char">
    <w:name w:val="Título 1 Char"/>
    <w:qFormat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>
    <w:name w:val="Texto de nota de fim Char"/>
    <w:qFormat/>
    <w:rPr>
      <w:lang w:eastAsia="en-US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ppleconvertedspace">
    <w:name w:val="apple-converted-space"/>
    <w:basedOn w:val="DefaultParagraphFont"/>
    <w:qFormat/>
    <w:rPr/>
  </w:style>
  <w:style w:type="character" w:styleId="Ttulo1Char1">
    <w:name w:val="Título 1 Char1"/>
    <w:qFormat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>
    <w:name w:val="Título 2 Char"/>
    <w:qFormat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  <w:lang w:eastAsia="en-US"/>
    </w:rPr>
  </w:style>
  <w:style w:type="character" w:styleId="VisitedInternetLink">
    <w:name w:val="FollowedHyperlink"/>
    <w:rPr>
      <w:color w:val="800080"/>
      <w:u w:val="single"/>
    </w:rPr>
  </w:style>
  <w:style w:type="character" w:styleId="UnresolvedMention">
    <w:name w:val="Unresolved Mention"/>
    <w:qFormat/>
    <w:rPr>
      <w:color w:val="605E5C"/>
      <w:highlight w:val="lightGray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aColoridanfase11">
    <w:name w:val="Lista Colorida - Ênfase 11"/>
    <w:basedOn w:val="Normal"/>
    <w:qFormat/>
    <w:pPr>
      <w:spacing w:before="0" w:after="200"/>
      <w:ind w:left="720" w:right="0" w:hanging="0"/>
      <w:contextualSpacing/>
    </w:pPr>
    <w:rPr/>
  </w:style>
  <w:style w:type="paragraph" w:styleId="Footnote">
    <w:name w:val="Footnote Text"/>
    <w:basedOn w:val="Normal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Footer">
    <w:name w:val="Footer"/>
    <w:basedOn w:val="Normal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Endnote">
    <w:name w:val="Endnote Text"/>
    <w:basedOn w:val="Normal"/>
    <w:pPr/>
    <w:rPr>
      <w:sz w:val="20"/>
      <w:szCs w:val="20"/>
      <w:lang w:val="x-none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Contents1">
    <w:name w:val="TOC 1"/>
    <w:basedOn w:val="Normal"/>
    <w:next w:val="Normal"/>
    <w:autoRedefine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Contents2">
    <w:name w:val="TOC 2"/>
    <w:basedOn w:val="Normal"/>
    <w:next w:val="Normal"/>
    <w:autoRedefine/>
    <w:pPr>
      <w:spacing w:lineRule="auto" w:line="360" w:before="0" w:after="0"/>
    </w:pPr>
    <w:rPr>
      <w:rFonts w:ascii="Arial" w:hAnsi="Arial"/>
      <w:sz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nderson789552.invisionapp.com/freehand/Health-management-Lu2ZiQ6xa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header" Target="head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Application>LibreOffice/6.4.7.2$Linux_X86_64 LibreOffice_project/40$Build-2</Application>
  <Pages>14</Pages>
  <Words>1052</Words>
  <Characters>6931</Characters>
  <CharactersWithSpaces>7834</CharactersWithSpaces>
  <Paragraphs>138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2023-10-08T23:20:44Z</dcterms:modified>
  <cp:revision>22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