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pStyle w:val="Title"/>
      </w:pPr>
      <w:r>
        <w:t>Score Companion</w:t>
      </w:r>
    </w:p>
    <w:p w14:paraId="00000002">
      <w:pPr>
        <w:pStyle w:val="Subtitle"/>
      </w:pPr>
      <w:r>
        <w:t>Development Setup and First Commit</w:t>
      </w:r>
    </w:p>
    <w:p w14:paraId="00000003">
      <w:r>
        <w:t>CMPS 453  |  P#9  |  Team 08  |  Draft report</w:t>
      </w:r>
      <w:r>
        <w:br/>
      </w:r>
      <w:r>
        <w:t>Prepared October 26, 2026  |  Due October 26, 2026 at 11:55 PM</w:t>
      </w:r>
    </w:p>
    <w:p w14:paraId="00000004">
      <w:r>
        <w:t>Score Companion helps musicians find a score, mark measures for practice, and review saved reminders. The shared application, REST API, and four assigned screens are now in main. This report records the design revisions, development choices, ownership, and available setup and GitLab evidence. Items requiring team confirmation appear on the final page.</w:t>
      </w:r>
    </w:p>
    <w:p w14:paraId="00000005">
      <w:hyperlink w:history="1" r:id="rId11">
        <w:r>
          <w:rPr>
            <w:color w:val="174A81"/>
            <w:rStyle w:val="Hyperlink"/>
          </w:rPr>
          <w:t>GitLab repository</w:t>
        </w:r>
      </w:hyperlink>
      <w:r>
        <w:t xml:space="preserve">  |  </w:t>
      </w:r>
      <w:hyperlink w:history="1" r:id="rId12">
        <w:r>
          <w:rPr>
            <w:color w:val="174A81"/>
            <w:rStyle w:val="Hyperlink"/>
          </w:rPr>
          <w:t>P9 milestone</w:t>
        </w:r>
      </w:hyperlink>
      <w:r>
        <w:t xml:space="preserve">  |  </w:t>
      </w:r>
      <w:hyperlink w:history="1" r:id="rId13">
        <w:r>
          <w:rPr>
            <w:color w:val="174A81"/>
            <w:rStyle w:val="Hyperlink"/>
          </w:rPr>
          <w:t>Updated Figma design</w:t>
        </w:r>
      </w:hyperlink>
    </w:p>
    <w:p w14:paraId="00000006">
      <w:pPr>
        <w:pStyle w:val="Heading1"/>
      </w:pPr>
      <w:r>
        <w:t>Part 1 Design revision</w:t>
      </w:r>
    </w:p>
    <w:p w14:paraId="00000007">
      <w:r>
        <w:t>The P#8 study included three participants. The revised ten-page screen export addresses the following findings; these are design changes, with current implementation scope described on page 3.</w:t>
      </w:r>
    </w:p>
    <w:tbl>
      <w:tblPr>
        <w:tblW w:w="0" w:type="auto"/>
        <w:jc w:val="center"/>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4536"/>
        <w:gridCol w:w="3888"/>
      </w:tblGrid>
      <w:tr w14:paraId="00000008">
        <w:trPr>
          <w:cantSplit/>
          <w:hidden w:val="0"/>
          <w:tblHeader/>
        </w:trPr>
        <w:tc>
          <w:tcPr>
            <w:tcW w:w="1800" w:type="dxa"/>
            <w:vAlign w:val="center"/>
            <w:shd w:fill="1C3553"/>
            <w:tcMar>
              <w:top w:w="75" w:type="dxa"/>
              <w:left w:w="95" w:type="dxa"/>
              <w:bottom w:w="75" w:type="dxa"/>
              <w:right w:w="95" w:type="dxa"/>
            </w:tcMar>
          </w:tcPr>
          <w:p w14:paraId="00000009">
            <w:pPr>
              <w:spacing w:after="0" w:line="245" w:lineRule="auto"/>
            </w:pPr>
            <w:r>
              <w:rPr>
                <w:b/>
                <w:color w:val="FFFFFF"/>
                <w:sz w:val="20"/>
                <w:szCs w:val="20"/>
              </w:rPr>
              <w:t>Screen</w:t>
            </w:r>
          </w:p>
        </w:tc>
        <w:tc>
          <w:tcPr>
            <w:tcW w:w="4536" w:type="dxa"/>
            <w:vAlign w:val="center"/>
            <w:shd w:fill="1C3553"/>
            <w:tcMar>
              <w:top w:w="75" w:type="dxa"/>
              <w:left w:w="95" w:type="dxa"/>
              <w:bottom w:w="75" w:type="dxa"/>
              <w:right w:w="95" w:type="dxa"/>
            </w:tcMar>
          </w:tcPr>
          <w:p w14:paraId="0000000A">
            <w:pPr>
              <w:spacing w:after="0" w:line="245" w:lineRule="auto"/>
            </w:pPr>
            <w:r>
              <w:rPr>
                <w:b/>
                <w:color w:val="FFFFFF"/>
                <w:sz w:val="20"/>
                <w:szCs w:val="20"/>
              </w:rPr>
              <w:t>Change made in the revised design</w:t>
            </w:r>
          </w:p>
        </w:tc>
        <w:tc>
          <w:tcPr>
            <w:tcW w:w="3888" w:type="dxa"/>
            <w:vAlign w:val="center"/>
            <w:shd w:fill="1C3553"/>
            <w:tcMar>
              <w:top w:w="75" w:type="dxa"/>
              <w:left w:w="95" w:type="dxa"/>
              <w:bottom w:w="75" w:type="dxa"/>
              <w:right w:w="95" w:type="dxa"/>
            </w:tcMar>
          </w:tcPr>
          <w:p w14:paraId="0000000B">
            <w:pPr>
              <w:spacing w:after="0" w:line="245" w:lineRule="auto"/>
            </w:pPr>
            <w:r>
              <w:rPr>
                <w:b/>
                <w:color w:val="FFFFFF"/>
                <w:sz w:val="20"/>
                <w:szCs w:val="20"/>
              </w:rPr>
              <w:t>P#8 evidence</w:t>
            </w:r>
          </w:p>
        </w:tc>
      </w:tr>
      <w:tr w14:paraId="0000000C">
        <w:trPr>
          <w:cantSplit/>
          <w:hidden w:val="0"/>
        </w:trPr>
        <w:tc>
          <w:tcPr>
            <w:tcW w:w="1800" w:type="dxa"/>
            <w:vAlign w:val="center"/>
            <w:shd w:fill="FFFFFF"/>
            <w:tcMar>
              <w:top w:w="75" w:type="dxa"/>
              <w:left w:w="95" w:type="dxa"/>
              <w:bottom w:w="75" w:type="dxa"/>
              <w:right w:w="95" w:type="dxa"/>
            </w:tcMar>
          </w:tcPr>
          <w:p w14:paraId="0000000D">
            <w:pPr>
              <w:spacing w:after="0" w:line="245" w:lineRule="auto"/>
            </w:pPr>
            <w:r>
              <w:rPr>
                <w:b w:val="0"/>
                <w:color w:val="000000"/>
                <w:sz w:val="20"/>
                <w:szCs w:val="20"/>
              </w:rPr>
              <w:t>Score Viewer and Practice Review</w:t>
            </w:r>
          </w:p>
        </w:tc>
        <w:tc>
          <w:tcPr>
            <w:tcW w:w="4536" w:type="dxa"/>
            <w:vAlign w:val="center"/>
            <w:shd w:fill="FFFFFF"/>
            <w:tcMar>
              <w:top w:w="75" w:type="dxa"/>
              <w:left w:w="95" w:type="dxa"/>
              <w:bottom w:w="75" w:type="dxa"/>
              <w:right w:w="95" w:type="dxa"/>
            </w:tcMar>
          </w:tcPr>
          <w:p w14:paraId="0000000E">
            <w:pPr>
              <w:spacing w:after="0" w:line="245" w:lineRule="auto"/>
            </w:pPr>
            <w:r>
              <w:rPr>
                <w:b w:val="0"/>
                <w:color w:val="000000"/>
                <w:sz w:val="20"/>
                <w:szCs w:val="20"/>
              </w:rPr>
              <w:t>Added notation-like score excerpts, persistent movement and part labels, and section and measure context. PDF pages 2 and 5.</w:t>
            </w:r>
          </w:p>
        </w:tc>
        <w:tc>
          <w:tcPr>
            <w:tcW w:w="3888" w:type="dxa"/>
            <w:vAlign w:val="center"/>
            <w:shd w:fill="FFFFFF"/>
            <w:tcMar>
              <w:top w:w="75" w:type="dxa"/>
              <w:left w:w="95" w:type="dxa"/>
              <w:bottom w:w="75" w:type="dxa"/>
              <w:right w:w="95" w:type="dxa"/>
            </w:tcMar>
          </w:tcPr>
          <w:p w14:paraId="0000000F">
            <w:pPr>
              <w:spacing w:after="0" w:line="245" w:lineRule="auto"/>
            </w:pPr>
            <w:r>
              <w:rPr>
                <w:b w:val="0"/>
                <w:color w:val="000000"/>
                <w:sz w:val="20"/>
                <w:szCs w:val="20"/>
              </w:rPr>
              <w:t>Participants 1 and 2 wanted recognizable sheet music; Participant 1 lacked song context in review.</w:t>
            </w:r>
          </w:p>
        </w:tc>
      </w:tr>
      <w:tr w14:paraId="00000010">
        <w:trPr>
          <w:cantSplit/>
          <w:hidden w:val="0"/>
        </w:trPr>
        <w:tc>
          <w:tcPr>
            <w:tcW w:w="1800" w:type="dxa"/>
            <w:vAlign w:val="center"/>
            <w:shd w:fill="EFF4FA"/>
            <w:tcMar>
              <w:top w:w="75" w:type="dxa"/>
              <w:left w:w="95" w:type="dxa"/>
              <w:bottom w:w="75" w:type="dxa"/>
              <w:right w:w="95" w:type="dxa"/>
            </w:tcMar>
          </w:tcPr>
          <w:p w14:paraId="00000011">
            <w:pPr>
              <w:spacing w:after="0" w:line="245" w:lineRule="auto"/>
            </w:pPr>
            <w:r>
              <w:rPr>
                <w:b w:val="0"/>
                <w:color w:val="000000"/>
                <w:sz w:val="20"/>
                <w:szCs w:val="20"/>
              </w:rPr>
              <w:t>Measure Marker and saved state</w:t>
            </w:r>
          </w:p>
        </w:tc>
        <w:tc>
          <w:tcPr>
            <w:tcW w:w="4536" w:type="dxa"/>
            <w:vAlign w:val="center"/>
            <w:shd w:fill="EFF4FA"/>
            <w:tcMar>
              <w:top w:w="75" w:type="dxa"/>
              <w:left w:w="95" w:type="dxa"/>
              <w:bottom w:w="75" w:type="dxa"/>
              <w:right w:w="95" w:type="dxa"/>
            </w:tcMar>
          </w:tcPr>
          <w:p w14:paraId="00000012">
            <w:pPr>
              <w:spacing w:after="0" w:line="245" w:lineRule="auto"/>
            </w:pPr>
            <w:r>
              <w:rPr>
                <w:b w:val="0"/>
                <w:color w:val="000000"/>
                <w:sz w:val="20"/>
                <w:szCs w:val="20"/>
              </w:rPr>
              <w:t>Added an explicit Mark for practice action, a saved confirmation, and Add practice note and Review saved passages actions. PDF pages 3 and 7.</w:t>
            </w:r>
          </w:p>
        </w:tc>
        <w:tc>
          <w:tcPr>
            <w:tcW w:w="3888" w:type="dxa"/>
            <w:vAlign w:val="center"/>
            <w:shd w:fill="EFF4FA"/>
            <w:tcMar>
              <w:top w:w="75" w:type="dxa"/>
              <w:left w:w="95" w:type="dxa"/>
              <w:bottom w:w="75" w:type="dxa"/>
              <w:right w:w="95" w:type="dxa"/>
            </w:tcMar>
          </w:tcPr>
          <w:p w14:paraId="00000013">
            <w:pPr>
              <w:spacing w:after="0" w:line="245" w:lineRule="auto"/>
            </w:pPr>
            <w:r>
              <w:rPr>
                <w:b w:val="0"/>
                <w:color w:val="000000"/>
                <w:sz w:val="20"/>
                <w:szCs w:val="20"/>
              </w:rPr>
              <w:t>All three participants showed uncertainty about marking, saving, or reaching review.</w:t>
            </w:r>
          </w:p>
        </w:tc>
      </w:tr>
      <w:tr w14:paraId="00000014">
        <w:trPr>
          <w:cantSplit/>
          <w:hidden w:val="0"/>
        </w:trPr>
        <w:tc>
          <w:tcPr>
            <w:tcW w:w="1800" w:type="dxa"/>
            <w:vAlign w:val="center"/>
            <w:shd w:fill="FFFFFF"/>
            <w:tcMar>
              <w:top w:w="75" w:type="dxa"/>
              <w:left w:w="95" w:type="dxa"/>
              <w:bottom w:w="75" w:type="dxa"/>
              <w:right w:w="95" w:type="dxa"/>
            </w:tcMar>
          </w:tcPr>
          <w:p w14:paraId="00000015">
            <w:pPr>
              <w:spacing w:after="0" w:line="245" w:lineRule="auto"/>
            </w:pPr>
            <w:r>
              <w:rPr>
                <w:b w:val="0"/>
                <w:color w:val="000000"/>
                <w:sz w:val="20"/>
                <w:szCs w:val="20"/>
              </w:rPr>
              <w:t>Practice note</w:t>
            </w:r>
          </w:p>
        </w:tc>
        <w:tc>
          <w:tcPr>
            <w:tcW w:w="4536" w:type="dxa"/>
            <w:vAlign w:val="center"/>
            <w:shd w:fill="FFFFFF"/>
            <w:tcMar>
              <w:top w:w="75" w:type="dxa"/>
              <w:left w:w="95" w:type="dxa"/>
              <w:bottom w:w="75" w:type="dxa"/>
              <w:right w:w="95" w:type="dxa"/>
            </w:tcMar>
          </w:tcPr>
          <w:p w14:paraId="00000016">
            <w:pPr>
              <w:spacing w:after="0" w:line="245" w:lineRule="auto"/>
            </w:pPr>
            <w:r>
              <w:rPr>
                <w:b w:val="0"/>
                <w:color w:val="000000"/>
                <w:sz w:val="20"/>
                <w:szCs w:val="20"/>
              </w:rPr>
              <w:t>Changed the timing to Add a practice note now or later and supplied a concrete example. PDF page 4.</w:t>
            </w:r>
          </w:p>
        </w:tc>
        <w:tc>
          <w:tcPr>
            <w:tcW w:w="3888" w:type="dxa"/>
            <w:vAlign w:val="center"/>
            <w:shd w:fill="FFFFFF"/>
            <w:tcMar>
              <w:top w:w="75" w:type="dxa"/>
              <w:left w:w="95" w:type="dxa"/>
              <w:bottom w:w="75" w:type="dxa"/>
              <w:right w:w="95" w:type="dxa"/>
            </w:tcMar>
          </w:tcPr>
          <w:p w14:paraId="00000017">
            <w:pPr>
              <w:spacing w:after="0" w:line="245" w:lineRule="auto"/>
            </w:pPr>
            <w:r>
              <w:rPr>
                <w:b w:val="0"/>
                <w:color w:val="000000"/>
                <w:sz w:val="20"/>
                <w:szCs w:val="20"/>
              </w:rPr>
              <w:t>Participant 3 found after-rehearsal wording too restrictive; Participant 2 wanted a clearer note prompt.</w:t>
            </w:r>
          </w:p>
        </w:tc>
      </w:tr>
      <w:tr w14:paraId="00000018">
        <w:trPr>
          <w:cantSplit/>
          <w:hidden w:val="0"/>
        </w:trPr>
        <w:tc>
          <w:tcPr>
            <w:tcW w:w="1800" w:type="dxa"/>
            <w:vAlign w:val="center"/>
            <w:shd w:fill="EFF4FA"/>
            <w:tcMar>
              <w:top w:w="75" w:type="dxa"/>
              <w:left w:w="95" w:type="dxa"/>
              <w:bottom w:w="75" w:type="dxa"/>
              <w:right w:w="95" w:type="dxa"/>
            </w:tcMar>
          </w:tcPr>
          <w:p w14:paraId="00000019">
            <w:pPr>
              <w:spacing w:after="0" w:line="245" w:lineRule="auto"/>
            </w:pPr>
            <w:r>
              <w:rPr>
                <w:b w:val="0"/>
                <w:color w:val="000000"/>
                <w:sz w:val="20"/>
                <w:szCs w:val="20"/>
              </w:rPr>
              <w:t>Measure Marker and review</w:t>
            </w:r>
          </w:p>
        </w:tc>
        <w:tc>
          <w:tcPr>
            <w:tcW w:w="4536" w:type="dxa"/>
            <w:vAlign w:val="center"/>
            <w:shd w:fill="EFF4FA"/>
            <w:tcMar>
              <w:top w:w="75" w:type="dxa"/>
              <w:left w:w="95" w:type="dxa"/>
              <w:bottom w:w="75" w:type="dxa"/>
              <w:right w:w="95" w:type="dxa"/>
            </w:tcMar>
          </w:tcPr>
          <w:p w14:paraId="0000001A">
            <w:pPr>
              <w:spacing w:after="0" w:line="245" w:lineRule="auto"/>
            </w:pPr>
            <w:r>
              <w:rPr>
                <w:b w:val="0"/>
                <w:color w:val="000000"/>
                <w:sz w:val="20"/>
                <w:szCs w:val="20"/>
              </w:rPr>
              <w:t>Added independent saved states for multiple measures and a marked-measure count. PDF pages 8 to 10.</w:t>
            </w:r>
          </w:p>
        </w:tc>
        <w:tc>
          <w:tcPr>
            <w:tcW w:w="3888" w:type="dxa"/>
            <w:vAlign w:val="center"/>
            <w:shd w:fill="EFF4FA"/>
            <w:tcMar>
              <w:top w:w="75" w:type="dxa"/>
              <w:left w:w="95" w:type="dxa"/>
              <w:bottom w:w="75" w:type="dxa"/>
              <w:right w:w="95" w:type="dxa"/>
            </w:tcMar>
          </w:tcPr>
          <w:p w14:paraId="0000001B">
            <w:pPr>
              <w:spacing w:after="0" w:line="245" w:lineRule="auto"/>
            </w:pPr>
            <w:r>
              <w:rPr>
                <w:b w:val="0"/>
                <w:color w:val="000000"/>
                <w:sz w:val="20"/>
                <w:szCs w:val="20"/>
              </w:rPr>
              <w:t>The P#8 synthesis prioritizes repeated marking from Participant 3 feedback.</w:t>
            </w:r>
          </w:p>
        </w:tc>
      </w:tr>
      <w:tr w14:paraId="0000001C">
        <w:trPr>
          <w:cantSplit/>
          <w:hidden w:val="0"/>
        </w:trPr>
        <w:tc>
          <w:tcPr>
            <w:tcW w:w="1800" w:type="dxa"/>
            <w:vAlign w:val="center"/>
            <w:shd w:fill="FFFFFF"/>
            <w:tcMar>
              <w:top w:w="75" w:type="dxa"/>
              <w:left w:w="95" w:type="dxa"/>
              <w:bottom w:w="75" w:type="dxa"/>
              <w:right w:w="95" w:type="dxa"/>
            </w:tcMar>
          </w:tcPr>
          <w:p w14:paraId="0000001D">
            <w:pPr>
              <w:spacing w:after="0" w:line="245" w:lineRule="auto"/>
            </w:pPr>
            <w:r>
              <w:rPr>
                <w:b w:val="0"/>
                <w:color w:val="000000"/>
                <w:sz w:val="20"/>
                <w:szCs w:val="20"/>
              </w:rPr>
              <w:t>Library and resolved confirmation</w:t>
            </w:r>
          </w:p>
        </w:tc>
        <w:tc>
          <w:tcPr>
            <w:tcW w:w="4536" w:type="dxa"/>
            <w:vAlign w:val="center"/>
            <w:shd w:fill="FFFFFF"/>
            <w:tcMar>
              <w:top w:w="75" w:type="dxa"/>
              <w:left w:w="95" w:type="dxa"/>
              <w:bottom w:w="75" w:type="dxa"/>
              <w:right w:w="95" w:type="dxa"/>
            </w:tcMar>
          </w:tcPr>
          <w:p w14:paraId="0000001E">
            <w:pPr>
              <w:spacing w:after="0" w:line="245" w:lineRule="auto"/>
            </w:pPr>
            <w:r>
              <w:rPr>
                <w:b w:val="0"/>
                <w:color w:val="000000"/>
                <w:sz w:val="20"/>
                <w:szCs w:val="20"/>
              </w:rPr>
              <w:t>Retained visible offline status and a clear resolved confirmation with a next action. PDF pages 1 and 6.</w:t>
            </w:r>
          </w:p>
        </w:tc>
        <w:tc>
          <w:tcPr>
            <w:tcW w:w="3888" w:type="dxa"/>
            <w:vAlign w:val="center"/>
            <w:shd w:fill="FFFFFF"/>
            <w:tcMar>
              <w:top w:w="75" w:type="dxa"/>
              <w:left w:w="95" w:type="dxa"/>
              <w:bottom w:w="75" w:type="dxa"/>
              <w:right w:w="95" w:type="dxa"/>
            </w:tcMar>
          </w:tcPr>
          <w:p w14:paraId="0000001F">
            <w:pPr>
              <w:spacing w:after="0" w:line="245" w:lineRule="auto"/>
            </w:pPr>
            <w:r>
              <w:rPr>
                <w:b w:val="0"/>
                <w:color w:val="000000"/>
                <w:sz w:val="20"/>
                <w:szCs w:val="20"/>
              </w:rPr>
              <w:t>Participant 3 valued offline readiness and found the resolved check motivating.</w:t>
            </w:r>
          </w:p>
        </w:tc>
      </w:tr>
    </w:tbl>
    <w:p w14:paraId="00000020">
      <w:pPr>
        <w:spacing w:after="0" w:before="0" w:line="240" w:lineRule="auto"/>
      </w:pPr>
    </w:p>
    <w:p w14:paraId="00000021">
      <w:r>
        <w:t>Evidence: p8/P8_SYNTHESIS_AND_IMPLEMENTATION.md and p9/Score_Companion_P8_Revised_Screens.pdf. Findings are formative and should not be treated as population-wide results. Tuner, metronome, social features, and automatic correction detection remain deferred.</w:t>
      </w:r>
    </w:p>
    <w:p w14:paraId="00000022">
      <w:r>
        <w:br w:type="page"/>
      </w:r>
    </w:p>
    <w:p w14:paraId="00000023">
      <w:pPr>
        <w:pStyle w:val="Heading1"/>
      </w:pPr>
      <w:r>
        <w:t>Part 2 Technical decisions</w:t>
      </w:r>
    </w:p>
    <w:p w14:paraId="00000024">
      <w:r>
        <w:t>Platform choice: a browser-based web application. React and Vite provide the interface; Django REST Framework exposes JSON endpoints; Django models persist local development data in SQLite. During development, Vite proxies /api requests to Django.</w:t>
      </w:r>
    </w:p>
    <w:tbl>
      <w:tblPr>
        <w:tblW w:w="0" w:type="auto"/>
        <w:jc w:val="center"/>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2333"/>
        <w:gridCol w:w="1483"/>
        <w:gridCol w:w="4896"/>
      </w:tblGrid>
      <w:tr w14:paraId="00000025">
        <w:trPr>
          <w:cantSplit/>
          <w:hidden w:val="0"/>
          <w:tblHeader/>
        </w:trPr>
        <w:tc>
          <w:tcPr>
            <w:tcW w:w="1512" w:type="dxa"/>
            <w:vAlign w:val="center"/>
            <w:shd w:fill="1C3553"/>
            <w:tcMar>
              <w:top w:w="75" w:type="dxa"/>
              <w:left w:w="95" w:type="dxa"/>
              <w:bottom w:w="75" w:type="dxa"/>
              <w:right w:w="95" w:type="dxa"/>
            </w:tcMar>
          </w:tcPr>
          <w:p w14:paraId="00000026">
            <w:pPr>
              <w:spacing w:after="0" w:line="245" w:lineRule="auto"/>
            </w:pPr>
            <w:r>
              <w:rPr>
                <w:b/>
                <w:color w:val="FFFFFF"/>
                <w:sz w:val="20"/>
                <w:szCs w:val="20"/>
              </w:rPr>
              <w:t>Area</w:t>
            </w:r>
          </w:p>
        </w:tc>
        <w:tc>
          <w:tcPr>
            <w:tcW w:w="2333" w:type="dxa"/>
            <w:vAlign w:val="center"/>
            <w:shd w:fill="1C3553"/>
            <w:tcMar>
              <w:top w:w="75" w:type="dxa"/>
              <w:left w:w="95" w:type="dxa"/>
              <w:bottom w:w="75" w:type="dxa"/>
              <w:right w:w="95" w:type="dxa"/>
            </w:tcMar>
          </w:tcPr>
          <w:p w14:paraId="00000027">
            <w:pPr>
              <w:spacing w:after="0" w:line="245" w:lineRule="auto"/>
            </w:pPr>
            <w:r>
              <w:rPr>
                <w:b/>
                <w:color w:val="FFFFFF"/>
                <w:sz w:val="20"/>
                <w:szCs w:val="20"/>
              </w:rPr>
              <w:t>Choice</w:t>
            </w:r>
          </w:p>
        </w:tc>
        <w:tc>
          <w:tcPr>
            <w:tcW w:w="1483" w:type="dxa"/>
            <w:vAlign w:val="center"/>
            <w:shd w:fill="1C3553"/>
            <w:tcMar>
              <w:top w:w="75" w:type="dxa"/>
              <w:left w:w="95" w:type="dxa"/>
              <w:bottom w:w="75" w:type="dxa"/>
              <w:right w:w="95" w:type="dxa"/>
            </w:tcMar>
          </w:tcPr>
          <w:p w14:paraId="00000028">
            <w:pPr>
              <w:spacing w:after="0" w:line="245" w:lineRule="auto"/>
              <w:jc w:val="center"/>
            </w:pPr>
            <w:r>
              <w:rPr>
                <w:b/>
                <w:color w:val="FFFFFF"/>
                <w:sz w:val="20"/>
                <w:szCs w:val="20"/>
              </w:rPr>
              <w:t>Classification</w:t>
            </w:r>
          </w:p>
        </w:tc>
        <w:tc>
          <w:tcPr>
            <w:tcW w:w="4896" w:type="dxa"/>
            <w:vAlign w:val="center"/>
            <w:shd w:fill="1C3553"/>
            <w:tcMar>
              <w:top w:w="75" w:type="dxa"/>
              <w:left w:w="95" w:type="dxa"/>
              <w:bottom w:w="75" w:type="dxa"/>
              <w:right w:w="95" w:type="dxa"/>
            </w:tcMar>
          </w:tcPr>
          <w:p w14:paraId="00000029">
            <w:pPr>
              <w:spacing w:after="0" w:line="245" w:lineRule="auto"/>
            </w:pPr>
            <w:r>
              <w:rPr>
                <w:b/>
                <w:color w:val="FFFFFF"/>
                <w:sz w:val="20"/>
                <w:szCs w:val="20"/>
              </w:rPr>
              <w:t>Rationale</w:t>
            </w:r>
          </w:p>
        </w:tc>
      </w:tr>
      <w:tr w14:paraId="0000002A">
        <w:trPr>
          <w:cantSplit/>
          <w:hidden w:val="0"/>
        </w:trPr>
        <w:tc>
          <w:tcPr>
            <w:tcW w:w="1512" w:type="dxa"/>
            <w:vAlign w:val="center"/>
            <w:shd w:fill="FFFFFF"/>
            <w:tcMar>
              <w:top w:w="75" w:type="dxa"/>
              <w:left w:w="95" w:type="dxa"/>
              <w:bottom w:w="75" w:type="dxa"/>
              <w:right w:w="95" w:type="dxa"/>
            </w:tcMar>
          </w:tcPr>
          <w:p w14:paraId="0000002B">
            <w:pPr>
              <w:spacing w:after="0" w:line="245" w:lineRule="auto"/>
            </w:pPr>
            <w:r>
              <w:rPr>
                <w:b w:val="0"/>
                <w:color w:val="000000"/>
                <w:sz w:val="20"/>
                <w:szCs w:val="20"/>
              </w:rPr>
              <w:t>Frontend</w:t>
            </w:r>
          </w:p>
        </w:tc>
        <w:tc>
          <w:tcPr>
            <w:tcW w:w="2333" w:type="dxa"/>
            <w:vAlign w:val="center"/>
            <w:shd w:fill="FFFFFF"/>
            <w:tcMar>
              <w:top w:w="75" w:type="dxa"/>
              <w:left w:w="95" w:type="dxa"/>
              <w:bottom w:w="75" w:type="dxa"/>
              <w:right w:w="95" w:type="dxa"/>
            </w:tcMar>
          </w:tcPr>
          <w:p w14:paraId="0000002C">
            <w:pPr>
              <w:spacing w:after="0" w:line="245" w:lineRule="auto"/>
            </w:pPr>
            <w:r>
              <w:rPr>
                <w:b w:val="0"/>
                <w:color w:val="000000"/>
                <w:sz w:val="20"/>
                <w:szCs w:val="20"/>
              </w:rPr>
              <w:t>React + Vite</w:t>
            </w:r>
            <w:r>
              <w:rPr>
                <w:b w:val="0"/>
                <w:color w:val="000000"/>
                <w:sz w:val="20"/>
              </w:rPr>
              <w:br/>
            </w:r>
            <w:r>
              <w:rPr>
                <w:b w:val="0"/>
                <w:color w:val="000000"/>
                <w:sz w:val="20"/>
                <w:szCs w:val="20"/>
              </w:rPr>
              <w:t>JavaScript</w:t>
            </w:r>
          </w:p>
        </w:tc>
        <w:tc>
          <w:tcPr>
            <w:tcW w:w="1483" w:type="dxa"/>
            <w:vAlign w:val="center"/>
            <w:shd w:fill="FFFFFF"/>
            <w:tcMar>
              <w:top w:w="75" w:type="dxa"/>
              <w:left w:w="95" w:type="dxa"/>
              <w:bottom w:w="75" w:type="dxa"/>
              <w:right w:w="95" w:type="dxa"/>
            </w:tcMar>
          </w:tcPr>
          <w:p w14:paraId="0000002D">
            <w:pPr>
              <w:spacing w:after="0" w:line="245" w:lineRule="auto"/>
              <w:jc w:val="center"/>
            </w:pPr>
            <w:r>
              <w:rPr>
                <w:b w:val="0"/>
                <w:color w:val="000000"/>
                <w:sz w:val="20"/>
                <w:szCs w:val="20"/>
              </w:rPr>
              <w:t>Mandatory</w:t>
            </w:r>
          </w:p>
        </w:tc>
        <w:tc>
          <w:tcPr>
            <w:tcW w:w="4896" w:type="dxa"/>
            <w:vAlign w:val="center"/>
            <w:shd w:fill="FFFFFF"/>
            <w:tcMar>
              <w:top w:w="75" w:type="dxa"/>
              <w:left w:w="95" w:type="dxa"/>
              <w:bottom w:w="75" w:type="dxa"/>
              <w:right w:w="95" w:type="dxa"/>
            </w:tcMar>
          </w:tcPr>
          <w:p w14:paraId="0000002E">
            <w:pPr>
              <w:spacing w:after="0" w:line="245" w:lineRule="auto"/>
            </w:pPr>
            <w:r>
              <w:rPr>
                <w:b w:val="0"/>
                <w:color w:val="000000"/>
                <w:sz w:val="20"/>
                <w:szCs w:val="20"/>
              </w:rPr>
              <w:t>Reusable components support four separately owned screens. Vite provides a shared local development and build workflow.</w:t>
            </w:r>
          </w:p>
        </w:tc>
      </w:tr>
      <w:tr w14:paraId="0000002F">
        <w:trPr>
          <w:cantSplit/>
          <w:hidden w:val="0"/>
        </w:trPr>
        <w:tc>
          <w:tcPr>
            <w:tcW w:w="1512" w:type="dxa"/>
            <w:vAlign w:val="center"/>
            <w:shd w:fill="EFF4FA"/>
            <w:tcMar>
              <w:top w:w="75" w:type="dxa"/>
              <w:left w:w="95" w:type="dxa"/>
              <w:bottom w:w="75" w:type="dxa"/>
              <w:right w:w="95" w:type="dxa"/>
            </w:tcMar>
          </w:tcPr>
          <w:p w14:paraId="00000030">
            <w:pPr>
              <w:spacing w:after="0" w:line="245" w:lineRule="auto"/>
            </w:pPr>
            <w:r>
              <w:rPr>
                <w:b w:val="0"/>
                <w:color w:val="000000"/>
                <w:sz w:val="20"/>
                <w:szCs w:val="20"/>
              </w:rPr>
              <w:t>Backend</w:t>
            </w:r>
          </w:p>
        </w:tc>
        <w:tc>
          <w:tcPr>
            <w:tcW w:w="2333" w:type="dxa"/>
            <w:vAlign w:val="center"/>
            <w:shd w:fill="EFF4FA"/>
            <w:tcMar>
              <w:top w:w="75" w:type="dxa"/>
              <w:left w:w="95" w:type="dxa"/>
              <w:bottom w:w="75" w:type="dxa"/>
              <w:right w:w="95" w:type="dxa"/>
            </w:tcMar>
          </w:tcPr>
          <w:p w14:paraId="00000031">
            <w:pPr>
              <w:spacing w:after="0" w:line="245" w:lineRule="auto"/>
            </w:pPr>
            <w:r>
              <w:rPr>
                <w:b w:val="0"/>
                <w:color w:val="000000"/>
                <w:sz w:val="20"/>
                <w:szCs w:val="20"/>
              </w:rPr>
              <w:t>Django + Django REST Framework</w:t>
            </w:r>
          </w:p>
        </w:tc>
        <w:tc>
          <w:tcPr>
            <w:tcW w:w="1483" w:type="dxa"/>
            <w:vAlign w:val="center"/>
            <w:shd w:fill="EFF4FA"/>
            <w:tcMar>
              <w:top w:w="75" w:type="dxa"/>
              <w:left w:w="95" w:type="dxa"/>
              <w:bottom w:w="75" w:type="dxa"/>
              <w:right w:w="95" w:type="dxa"/>
            </w:tcMar>
          </w:tcPr>
          <w:p w14:paraId="00000032">
            <w:pPr>
              <w:spacing w:after="0" w:line="245" w:lineRule="auto"/>
              <w:jc w:val="center"/>
            </w:pPr>
            <w:r>
              <w:rPr>
                <w:b w:val="0"/>
                <w:color w:val="000000"/>
                <w:sz w:val="20"/>
                <w:szCs w:val="20"/>
              </w:rPr>
              <w:t>Mandatory</w:t>
            </w:r>
          </w:p>
        </w:tc>
        <w:tc>
          <w:tcPr>
            <w:tcW w:w="4896" w:type="dxa"/>
            <w:vAlign w:val="center"/>
            <w:shd w:fill="EFF4FA"/>
            <w:tcMar>
              <w:top w:w="75" w:type="dxa"/>
              <w:left w:w="95" w:type="dxa"/>
              <w:bottom w:w="75" w:type="dxa"/>
              <w:right w:w="95" w:type="dxa"/>
            </w:tcMar>
          </w:tcPr>
          <w:p w14:paraId="00000033">
            <w:pPr>
              <w:spacing w:after="0" w:line="245" w:lineRule="auto"/>
            </w:pPr>
            <w:r>
              <w:rPr>
                <w:b w:val="0"/>
                <w:color w:val="000000"/>
                <w:sz w:val="20"/>
                <w:szCs w:val="20"/>
              </w:rPr>
              <w:t>Models, migrations, validation, and REST responses provide a small shared contract for screen integration.</w:t>
            </w:r>
          </w:p>
        </w:tc>
      </w:tr>
      <w:tr w14:paraId="00000034">
        <w:trPr>
          <w:cantSplit/>
          <w:hidden w:val="0"/>
        </w:trPr>
        <w:tc>
          <w:tcPr>
            <w:tcW w:w="1512" w:type="dxa"/>
            <w:vAlign w:val="center"/>
            <w:shd w:fill="FFFFFF"/>
            <w:tcMar>
              <w:top w:w="75" w:type="dxa"/>
              <w:left w:w="95" w:type="dxa"/>
              <w:bottom w:w="75" w:type="dxa"/>
              <w:right w:w="95" w:type="dxa"/>
            </w:tcMar>
          </w:tcPr>
          <w:p w14:paraId="00000035">
            <w:pPr>
              <w:spacing w:after="0" w:line="245" w:lineRule="auto"/>
            </w:pPr>
            <w:r>
              <w:rPr>
                <w:b w:val="0"/>
                <w:color w:val="000000"/>
                <w:sz w:val="20"/>
                <w:szCs w:val="20"/>
              </w:rPr>
              <w:t>Database</w:t>
            </w:r>
          </w:p>
        </w:tc>
        <w:tc>
          <w:tcPr>
            <w:tcW w:w="2333" w:type="dxa"/>
            <w:vAlign w:val="center"/>
            <w:shd w:fill="FFFFFF"/>
            <w:tcMar>
              <w:top w:w="75" w:type="dxa"/>
              <w:left w:w="95" w:type="dxa"/>
              <w:bottom w:w="75" w:type="dxa"/>
              <w:right w:w="95" w:type="dxa"/>
            </w:tcMar>
          </w:tcPr>
          <w:p w14:paraId="00000036">
            <w:pPr>
              <w:spacing w:after="0" w:line="245" w:lineRule="auto"/>
            </w:pPr>
            <w:r>
              <w:rPr>
                <w:b w:val="0"/>
                <w:color w:val="000000"/>
                <w:sz w:val="20"/>
                <w:szCs w:val="20"/>
              </w:rPr>
              <w:t>SQLite</w:t>
            </w:r>
          </w:p>
        </w:tc>
        <w:tc>
          <w:tcPr>
            <w:tcW w:w="1483" w:type="dxa"/>
            <w:vAlign w:val="center"/>
            <w:shd w:fill="FFFFFF"/>
            <w:tcMar>
              <w:top w:w="75" w:type="dxa"/>
              <w:left w:w="95" w:type="dxa"/>
              <w:bottom w:w="75" w:type="dxa"/>
              <w:right w:w="95" w:type="dxa"/>
            </w:tcMar>
          </w:tcPr>
          <w:p w14:paraId="00000037">
            <w:pPr>
              <w:spacing w:after="0" w:line="245" w:lineRule="auto"/>
              <w:jc w:val="center"/>
            </w:pPr>
            <w:r>
              <w:rPr>
                <w:b w:val="0"/>
                <w:color w:val="000000"/>
                <w:sz w:val="20"/>
                <w:szCs w:val="20"/>
              </w:rPr>
              <w:t>Mandatory</w:t>
            </w:r>
          </w:p>
        </w:tc>
        <w:tc>
          <w:tcPr>
            <w:tcW w:w="4896" w:type="dxa"/>
            <w:vAlign w:val="center"/>
            <w:shd w:fill="FFFFFF"/>
            <w:tcMar>
              <w:top w:w="75" w:type="dxa"/>
              <w:left w:w="95" w:type="dxa"/>
              <w:bottom w:w="75" w:type="dxa"/>
              <w:right w:w="95" w:type="dxa"/>
            </w:tcMar>
          </w:tcPr>
          <w:p w14:paraId="00000038">
            <w:pPr>
              <w:spacing w:after="0" w:line="245" w:lineRule="auto"/>
            </w:pPr>
            <w:r>
              <w:rPr>
                <w:b w:val="0"/>
                <w:color w:val="000000"/>
                <w:sz w:val="20"/>
                <w:szCs w:val="20"/>
              </w:rPr>
              <w:t>A file-based development database avoids a separate database service and works with the Django ORM.</w:t>
            </w:r>
          </w:p>
        </w:tc>
      </w:tr>
      <w:tr w14:paraId="00000039">
        <w:trPr>
          <w:cantSplit/>
          <w:hidden w:val="0"/>
        </w:trPr>
        <w:tc>
          <w:tcPr>
            <w:tcW w:w="1512" w:type="dxa"/>
            <w:vAlign w:val="center"/>
            <w:shd w:fill="EFF4FA"/>
            <w:tcMar>
              <w:top w:w="75" w:type="dxa"/>
              <w:left w:w="95" w:type="dxa"/>
              <w:bottom w:w="75" w:type="dxa"/>
              <w:right w:w="95" w:type="dxa"/>
            </w:tcMar>
          </w:tcPr>
          <w:p w14:paraId="0000003A">
            <w:pPr>
              <w:spacing w:after="0" w:line="245" w:lineRule="auto"/>
            </w:pPr>
            <w:r>
              <w:rPr>
                <w:b w:val="0"/>
                <w:color w:val="000000"/>
                <w:sz w:val="20"/>
                <w:szCs w:val="20"/>
              </w:rPr>
              <w:t>Runtimes</w:t>
            </w:r>
          </w:p>
        </w:tc>
        <w:tc>
          <w:tcPr>
            <w:tcW w:w="2333" w:type="dxa"/>
            <w:vAlign w:val="center"/>
            <w:shd w:fill="EFF4FA"/>
            <w:tcMar>
              <w:top w:w="75" w:type="dxa"/>
              <w:left w:w="95" w:type="dxa"/>
              <w:bottom w:w="75" w:type="dxa"/>
              <w:right w:w="95" w:type="dxa"/>
            </w:tcMar>
          </w:tcPr>
          <w:p w14:paraId="0000003B">
            <w:pPr>
              <w:spacing w:after="0" w:line="245" w:lineRule="auto"/>
            </w:pPr>
            <w:r>
              <w:rPr>
                <w:b w:val="0"/>
                <w:color w:val="000000"/>
                <w:sz w:val="20"/>
                <w:szCs w:val="20"/>
              </w:rPr>
              <w:t>Python 3.12+</w:t>
            </w:r>
            <w:r>
              <w:rPr>
                <w:b w:val="0"/>
                <w:color w:val="000000"/>
                <w:sz w:val="20"/>
              </w:rPr>
              <w:br/>
            </w:r>
            <w:r>
              <w:rPr>
                <w:b w:val="0"/>
                <w:color w:val="000000"/>
                <w:sz w:val="20"/>
                <w:szCs w:val="20"/>
              </w:rPr>
              <w:t>Node.js LTS</w:t>
            </w:r>
          </w:p>
        </w:tc>
        <w:tc>
          <w:tcPr>
            <w:tcW w:w="1483" w:type="dxa"/>
            <w:vAlign w:val="center"/>
            <w:shd w:fill="EFF4FA"/>
            <w:tcMar>
              <w:top w:w="75" w:type="dxa"/>
              <w:left w:w="95" w:type="dxa"/>
              <w:bottom w:w="75" w:type="dxa"/>
              <w:right w:w="95" w:type="dxa"/>
            </w:tcMar>
          </w:tcPr>
          <w:p w14:paraId="0000003C">
            <w:pPr>
              <w:spacing w:after="0" w:line="245" w:lineRule="auto"/>
              <w:jc w:val="center"/>
            </w:pPr>
            <w:r>
              <w:rPr>
                <w:b w:val="0"/>
                <w:color w:val="000000"/>
                <w:sz w:val="20"/>
                <w:szCs w:val="20"/>
              </w:rPr>
              <w:t>Mandatory</w:t>
            </w:r>
          </w:p>
        </w:tc>
        <w:tc>
          <w:tcPr>
            <w:tcW w:w="4896" w:type="dxa"/>
            <w:vAlign w:val="center"/>
            <w:shd w:fill="EFF4FA"/>
            <w:tcMar>
              <w:top w:w="75" w:type="dxa"/>
              <w:left w:w="95" w:type="dxa"/>
              <w:bottom w:w="75" w:type="dxa"/>
              <w:right w:w="95" w:type="dxa"/>
            </w:tcMar>
          </w:tcPr>
          <w:p w14:paraId="0000003D">
            <w:pPr>
              <w:spacing w:after="0" w:line="245" w:lineRule="auto"/>
            </w:pPr>
            <w:r>
              <w:rPr>
                <w:b w:val="0"/>
                <w:color w:val="000000"/>
                <w:sz w:val="20"/>
                <w:szCs w:val="20"/>
              </w:rPr>
              <w:t>Python runs Django; Node.js runs the frontend tooling. These match the repository setup instructions.</w:t>
            </w:r>
          </w:p>
        </w:tc>
      </w:tr>
      <w:tr w14:paraId="0000003E">
        <w:trPr>
          <w:cantSplit/>
          <w:hidden w:val="0"/>
        </w:trPr>
        <w:tc>
          <w:tcPr>
            <w:tcW w:w="1512" w:type="dxa"/>
            <w:vAlign w:val="center"/>
            <w:shd w:fill="FFFFFF"/>
            <w:tcMar>
              <w:top w:w="75" w:type="dxa"/>
              <w:left w:w="95" w:type="dxa"/>
              <w:bottom w:w="75" w:type="dxa"/>
              <w:right w:w="95" w:type="dxa"/>
            </w:tcMar>
          </w:tcPr>
          <w:p w14:paraId="0000003F">
            <w:pPr>
              <w:spacing w:after="0" w:line="245" w:lineRule="auto"/>
            </w:pPr>
            <w:r>
              <w:rPr>
                <w:b w:val="0"/>
                <w:color w:val="000000"/>
                <w:sz w:val="20"/>
                <w:szCs w:val="20"/>
              </w:rPr>
              <w:t>Version control and tracker</w:t>
            </w:r>
          </w:p>
        </w:tc>
        <w:tc>
          <w:tcPr>
            <w:tcW w:w="2333" w:type="dxa"/>
            <w:vAlign w:val="center"/>
            <w:shd w:fill="FFFFFF"/>
            <w:tcMar>
              <w:top w:w="75" w:type="dxa"/>
              <w:left w:w="95" w:type="dxa"/>
              <w:bottom w:w="75" w:type="dxa"/>
              <w:right w:w="95" w:type="dxa"/>
            </w:tcMar>
          </w:tcPr>
          <w:p w14:paraId="00000040">
            <w:pPr>
              <w:spacing w:after="0" w:line="245" w:lineRule="auto"/>
            </w:pPr>
            <w:r>
              <w:rPr>
                <w:b w:val="0"/>
                <w:color w:val="000000"/>
                <w:sz w:val="20"/>
                <w:szCs w:val="20"/>
              </w:rPr>
              <w:t>Git + GitLab</w:t>
            </w:r>
            <w:r>
              <w:rPr>
                <w:b w:val="0"/>
                <w:color w:val="000000"/>
                <w:sz w:val="20"/>
              </w:rPr>
              <w:br/>
            </w:r>
            <w:r>
              <w:rPr>
                <w:b w:val="0"/>
                <w:color w:val="000000"/>
                <w:sz w:val="20"/>
                <w:szCs w:val="20"/>
              </w:rPr>
              <w:t>GitHub file mirror</w:t>
            </w:r>
          </w:p>
        </w:tc>
        <w:tc>
          <w:tcPr>
            <w:tcW w:w="1483" w:type="dxa"/>
            <w:vAlign w:val="center"/>
            <w:shd w:fill="FFFFFF"/>
            <w:tcMar>
              <w:top w:w="75" w:type="dxa"/>
              <w:left w:w="95" w:type="dxa"/>
              <w:bottom w:w="75" w:type="dxa"/>
              <w:right w:w="95" w:type="dxa"/>
            </w:tcMar>
          </w:tcPr>
          <w:p w14:paraId="00000041">
            <w:pPr>
              <w:spacing w:after="0" w:line="245" w:lineRule="auto"/>
              <w:jc w:val="center"/>
            </w:pPr>
            <w:r>
              <w:rPr>
                <w:b w:val="0"/>
                <w:color w:val="000000"/>
                <w:sz w:val="20"/>
                <w:szCs w:val="20"/>
              </w:rPr>
              <w:t>Mandatory</w:t>
            </w:r>
          </w:p>
        </w:tc>
        <w:tc>
          <w:tcPr>
            <w:tcW w:w="4896" w:type="dxa"/>
            <w:vAlign w:val="center"/>
            <w:shd w:fill="FFFFFF"/>
            <w:tcMar>
              <w:top w:w="75" w:type="dxa"/>
              <w:left w:w="95" w:type="dxa"/>
              <w:bottom w:w="75" w:type="dxa"/>
              <w:right w:w="95" w:type="dxa"/>
            </w:tcMar>
          </w:tcPr>
          <w:p w14:paraId="00000042">
            <w:pPr>
              <w:spacing w:after="0" w:line="245" w:lineRule="auto"/>
            </w:pPr>
            <w:r>
              <w:rPr>
                <w:b w:val="0"/>
                <w:color w:val="000000"/>
                <w:sz w:val="20"/>
                <w:szCs w:val="20"/>
              </w:rPr>
              <w:t>GitLab tracks issues, milestone, reviews, and merge requests. Repository files are also mirrored to GitHub.</w:t>
            </w:r>
          </w:p>
        </w:tc>
      </w:tr>
      <w:tr w14:paraId="00000043">
        <w:trPr>
          <w:cantSplit/>
          <w:hidden w:val="0"/>
        </w:trPr>
        <w:tc>
          <w:tcPr>
            <w:tcW w:w="1512" w:type="dxa"/>
            <w:vAlign w:val="center"/>
            <w:shd w:fill="EFF4FA"/>
            <w:tcMar>
              <w:top w:w="75" w:type="dxa"/>
              <w:left w:w="95" w:type="dxa"/>
              <w:bottom w:w="75" w:type="dxa"/>
              <w:right w:w="95" w:type="dxa"/>
            </w:tcMar>
          </w:tcPr>
          <w:p w14:paraId="00000044">
            <w:pPr>
              <w:spacing w:after="0" w:line="245" w:lineRule="auto"/>
            </w:pPr>
            <w:r>
              <w:rPr>
                <w:b w:val="0"/>
                <w:color w:val="000000"/>
                <w:sz w:val="20"/>
                <w:szCs w:val="20"/>
              </w:rPr>
              <w:t>IDE</w:t>
            </w:r>
          </w:p>
        </w:tc>
        <w:tc>
          <w:tcPr>
            <w:tcW w:w="2333" w:type="dxa"/>
            <w:vAlign w:val="center"/>
            <w:shd w:fill="EFF4FA"/>
            <w:tcMar>
              <w:top w:w="75" w:type="dxa"/>
              <w:left w:w="95" w:type="dxa"/>
              <w:bottom w:w="75" w:type="dxa"/>
              <w:right w:w="95" w:type="dxa"/>
            </w:tcMar>
          </w:tcPr>
          <w:p w14:paraId="00000045">
            <w:pPr>
              <w:spacing w:after="0" w:line="245" w:lineRule="auto"/>
            </w:pPr>
            <w:r>
              <w:rPr>
                <w:b w:val="0"/>
                <w:color w:val="000000"/>
                <w:sz w:val="20"/>
                <w:szCs w:val="20"/>
              </w:rPr>
              <w:t>VS Code</w:t>
            </w:r>
          </w:p>
        </w:tc>
        <w:tc>
          <w:tcPr>
            <w:tcW w:w="1483" w:type="dxa"/>
            <w:vAlign w:val="center"/>
            <w:shd w:fill="EFF4FA"/>
            <w:tcMar>
              <w:top w:w="75" w:type="dxa"/>
              <w:left w:w="95" w:type="dxa"/>
              <w:bottom w:w="75" w:type="dxa"/>
              <w:right w:w="95" w:type="dxa"/>
            </w:tcMar>
          </w:tcPr>
          <w:p w14:paraId="00000046">
            <w:pPr>
              <w:spacing w:after="0" w:line="245" w:lineRule="auto"/>
              <w:jc w:val="center"/>
            </w:pPr>
            <w:r>
              <w:rPr>
                <w:b w:val="0"/>
                <w:color w:val="000000"/>
                <w:sz w:val="20"/>
                <w:szCs w:val="20"/>
              </w:rPr>
              <w:t>Recommended</w:t>
            </w:r>
          </w:p>
        </w:tc>
        <w:tc>
          <w:tcPr>
            <w:tcW w:w="4896" w:type="dxa"/>
            <w:vAlign w:val="center"/>
            <w:shd w:fill="EFF4FA"/>
            <w:tcMar>
              <w:top w:w="75" w:type="dxa"/>
              <w:left w:w="95" w:type="dxa"/>
              <w:bottom w:w="75" w:type="dxa"/>
              <w:right w:w="95" w:type="dxa"/>
            </w:tcMar>
          </w:tcPr>
          <w:p w14:paraId="00000047">
            <w:pPr>
              <w:spacing w:after="0" w:line="245" w:lineRule="auto"/>
            </w:pPr>
            <w:r>
              <w:rPr>
                <w:b w:val="0"/>
                <w:color w:val="000000"/>
                <w:sz w:val="20"/>
                <w:szCs w:val="20"/>
              </w:rPr>
              <w:t>A common editor supports JavaScript, Python, terminals, Git, and the submitted environment screenshots.</w:t>
            </w:r>
          </w:p>
        </w:tc>
      </w:tr>
      <w:tr w14:paraId="00000048">
        <w:trPr>
          <w:cantSplit/>
          <w:hidden w:val="0"/>
        </w:trPr>
        <w:tc>
          <w:tcPr>
            <w:tcW w:w="1512" w:type="dxa"/>
            <w:vAlign w:val="center"/>
            <w:shd w:fill="FFFFFF"/>
            <w:tcMar>
              <w:top w:w="75" w:type="dxa"/>
              <w:left w:w="95" w:type="dxa"/>
              <w:bottom w:w="75" w:type="dxa"/>
              <w:right w:w="95" w:type="dxa"/>
            </w:tcMar>
          </w:tcPr>
          <w:p w14:paraId="00000049">
            <w:pPr>
              <w:spacing w:after="0" w:line="245" w:lineRule="auto"/>
            </w:pPr>
            <w:r>
              <w:rPr>
                <w:b w:val="0"/>
                <w:color w:val="000000"/>
                <w:sz w:val="20"/>
                <w:szCs w:val="20"/>
              </w:rPr>
              <w:t>AI assistance</w:t>
            </w:r>
          </w:p>
        </w:tc>
        <w:tc>
          <w:tcPr>
            <w:tcW w:w="2333" w:type="dxa"/>
            <w:vAlign w:val="center"/>
            <w:shd w:fill="FFFFFF"/>
            <w:tcMar>
              <w:top w:w="75" w:type="dxa"/>
              <w:left w:w="95" w:type="dxa"/>
              <w:bottom w:w="75" w:type="dxa"/>
              <w:right w:w="95" w:type="dxa"/>
            </w:tcMar>
          </w:tcPr>
          <w:p w14:paraId="0000004A">
            <w:pPr>
              <w:spacing w:after="0" w:line="245" w:lineRule="auto"/>
            </w:pPr>
            <w:r>
              <w:rPr>
                <w:b w:val="0"/>
                <w:color w:val="000000"/>
                <w:sz w:val="20"/>
                <w:szCs w:val="20"/>
              </w:rPr>
              <w:t>Codex or GitHub Copilot</w:t>
            </w:r>
          </w:p>
        </w:tc>
        <w:tc>
          <w:tcPr>
            <w:tcW w:w="1483" w:type="dxa"/>
            <w:vAlign w:val="center"/>
            <w:shd w:fill="FFFFFF"/>
            <w:tcMar>
              <w:top w:w="75" w:type="dxa"/>
              <w:left w:w="95" w:type="dxa"/>
              <w:bottom w:w="75" w:type="dxa"/>
              <w:right w:w="95" w:type="dxa"/>
            </w:tcMar>
          </w:tcPr>
          <w:p w14:paraId="0000004B">
            <w:pPr>
              <w:spacing w:after="0" w:line="245" w:lineRule="auto"/>
              <w:jc w:val="center"/>
            </w:pPr>
            <w:r>
              <w:rPr>
                <w:b w:val="0"/>
                <w:color w:val="000000"/>
                <w:sz w:val="20"/>
                <w:szCs w:val="20"/>
              </w:rPr>
              <w:t>Recommended</w:t>
            </w:r>
          </w:p>
        </w:tc>
        <w:tc>
          <w:tcPr>
            <w:tcW w:w="4896" w:type="dxa"/>
            <w:vAlign w:val="center"/>
            <w:shd w:fill="FFFFFF"/>
            <w:tcMar>
              <w:top w:w="75" w:type="dxa"/>
              <w:left w:w="95" w:type="dxa"/>
              <w:bottom w:w="75" w:type="dxa"/>
              <w:right w:w="95" w:type="dxa"/>
            </w:tcMar>
          </w:tcPr>
          <w:p w14:paraId="0000004C">
            <w:pPr>
              <w:spacing w:after="0" w:line="245" w:lineRule="auto"/>
            </w:pPr>
            <w:r>
              <w:rPr>
                <w:b w:val="0"/>
                <w:color w:val="000000"/>
                <w:sz w:val="20"/>
                <w:szCs w:val="20"/>
              </w:rPr>
              <w:t>Supports setup, implementation, and debugging. Each owner remains responsible for checking generated work.</w:t>
            </w:r>
          </w:p>
        </w:tc>
      </w:tr>
      <w:tr w14:paraId="0000004D">
        <w:trPr>
          <w:cantSplit/>
          <w:hidden w:val="0"/>
        </w:trPr>
        <w:tc>
          <w:tcPr>
            <w:tcW w:w="1512" w:type="dxa"/>
            <w:vAlign w:val="center"/>
            <w:shd w:fill="EFF4FA"/>
            <w:tcMar>
              <w:top w:w="75" w:type="dxa"/>
              <w:left w:w="95" w:type="dxa"/>
              <w:bottom w:w="75" w:type="dxa"/>
              <w:right w:w="95" w:type="dxa"/>
            </w:tcMar>
          </w:tcPr>
          <w:p w14:paraId="0000004E">
            <w:pPr>
              <w:spacing w:after="0" w:line="245" w:lineRule="auto"/>
            </w:pPr>
            <w:r>
              <w:rPr>
                <w:b w:val="0"/>
                <w:color w:val="000000"/>
                <w:sz w:val="20"/>
                <w:szCs w:val="20"/>
              </w:rPr>
              <w:t>API testing</w:t>
            </w:r>
          </w:p>
        </w:tc>
        <w:tc>
          <w:tcPr>
            <w:tcW w:w="2333" w:type="dxa"/>
            <w:vAlign w:val="center"/>
            <w:shd w:fill="EFF4FA"/>
            <w:tcMar>
              <w:top w:w="75" w:type="dxa"/>
              <w:left w:w="95" w:type="dxa"/>
              <w:bottom w:w="75" w:type="dxa"/>
              <w:right w:w="95" w:type="dxa"/>
            </w:tcMar>
          </w:tcPr>
          <w:p w14:paraId="0000004F">
            <w:pPr>
              <w:spacing w:after="0" w:line="245" w:lineRule="auto"/>
            </w:pPr>
            <w:r>
              <w:rPr>
                <w:b w:val="0"/>
                <w:color w:val="000000"/>
                <w:sz w:val="20"/>
                <w:szCs w:val="20"/>
              </w:rPr>
              <w:t>Postman</w:t>
            </w:r>
          </w:p>
        </w:tc>
        <w:tc>
          <w:tcPr>
            <w:tcW w:w="1483" w:type="dxa"/>
            <w:vAlign w:val="center"/>
            <w:shd w:fill="EFF4FA"/>
            <w:tcMar>
              <w:top w:w="75" w:type="dxa"/>
              <w:left w:w="95" w:type="dxa"/>
              <w:bottom w:w="75" w:type="dxa"/>
              <w:right w:w="95" w:type="dxa"/>
            </w:tcMar>
          </w:tcPr>
          <w:p w14:paraId="00000050">
            <w:pPr>
              <w:spacing w:after="0" w:line="245" w:lineRule="auto"/>
              <w:jc w:val="center"/>
            </w:pPr>
            <w:r>
              <w:rPr>
                <w:b w:val="0"/>
                <w:color w:val="000000"/>
                <w:sz w:val="20"/>
                <w:szCs w:val="20"/>
              </w:rPr>
              <w:t>Recommended</w:t>
            </w:r>
          </w:p>
        </w:tc>
        <w:tc>
          <w:tcPr>
            <w:tcW w:w="4896" w:type="dxa"/>
            <w:vAlign w:val="center"/>
            <w:shd w:fill="EFF4FA"/>
            <w:tcMar>
              <w:top w:w="75" w:type="dxa"/>
              <w:left w:w="95" w:type="dxa"/>
              <w:bottom w:w="75" w:type="dxa"/>
              <w:right w:w="95" w:type="dxa"/>
            </w:tcMar>
          </w:tcPr>
          <w:p w14:paraId="00000051">
            <w:pPr>
              <w:spacing w:after="0" w:line="245" w:lineRule="auto"/>
            </w:pPr>
            <w:r>
              <w:rPr>
                <w:b w:val="0"/>
                <w:color w:val="000000"/>
                <w:sz w:val="20"/>
                <w:szCs w:val="20"/>
              </w:rPr>
              <w:t>Allows manual inspection of JSON requests and responses. Automated API tests are also included.</w:t>
            </w:r>
          </w:p>
        </w:tc>
      </w:tr>
      <w:tr w14:paraId="00000052">
        <w:trPr>
          <w:cantSplit/>
          <w:hidden w:val="0"/>
        </w:trPr>
        <w:tc>
          <w:tcPr>
            <w:tcW w:w="1512" w:type="dxa"/>
            <w:vAlign w:val="center"/>
            <w:shd w:fill="FFFFFF"/>
            <w:tcMar>
              <w:top w:w="75" w:type="dxa"/>
              <w:left w:w="95" w:type="dxa"/>
              <w:bottom w:w="75" w:type="dxa"/>
              <w:right w:w="95" w:type="dxa"/>
            </w:tcMar>
          </w:tcPr>
          <w:p w14:paraId="00000053">
            <w:pPr>
              <w:spacing w:after="0" w:line="245" w:lineRule="auto"/>
            </w:pPr>
            <w:r>
              <w:rPr>
                <w:b w:val="0"/>
                <w:color w:val="000000"/>
                <w:sz w:val="20"/>
                <w:szCs w:val="20"/>
              </w:rPr>
              <w:t>UI design</w:t>
            </w:r>
          </w:p>
        </w:tc>
        <w:tc>
          <w:tcPr>
            <w:tcW w:w="2333" w:type="dxa"/>
            <w:vAlign w:val="center"/>
            <w:shd w:fill="FFFFFF"/>
            <w:tcMar>
              <w:top w:w="75" w:type="dxa"/>
              <w:left w:w="95" w:type="dxa"/>
              <w:bottom w:w="75" w:type="dxa"/>
              <w:right w:w="95" w:type="dxa"/>
            </w:tcMar>
          </w:tcPr>
          <w:p w14:paraId="00000054">
            <w:pPr>
              <w:spacing w:after="0" w:line="245" w:lineRule="auto"/>
            </w:pPr>
            <w:r>
              <w:rPr>
                <w:b w:val="0"/>
                <w:color w:val="000000"/>
                <w:sz w:val="20"/>
                <w:szCs w:val="20"/>
              </w:rPr>
              <w:t>Figma and revised PDF</w:t>
            </w:r>
          </w:p>
        </w:tc>
        <w:tc>
          <w:tcPr>
            <w:tcW w:w="1483" w:type="dxa"/>
            <w:vAlign w:val="center"/>
            <w:shd w:fill="FFFFFF"/>
            <w:tcMar>
              <w:top w:w="75" w:type="dxa"/>
              <w:left w:w="95" w:type="dxa"/>
              <w:bottom w:w="75" w:type="dxa"/>
              <w:right w:w="95" w:type="dxa"/>
            </w:tcMar>
          </w:tcPr>
          <w:p w14:paraId="00000055">
            <w:pPr>
              <w:spacing w:after="0" w:line="245" w:lineRule="auto"/>
              <w:jc w:val="center"/>
            </w:pPr>
            <w:r>
              <w:rPr>
                <w:b w:val="0"/>
                <w:color w:val="000000"/>
                <w:sz w:val="20"/>
                <w:szCs w:val="20"/>
              </w:rPr>
              <w:t>Recommended</w:t>
            </w:r>
          </w:p>
        </w:tc>
        <w:tc>
          <w:tcPr>
            <w:tcW w:w="4896" w:type="dxa"/>
            <w:vAlign w:val="center"/>
            <w:shd w:fill="FFFFFF"/>
            <w:tcMar>
              <w:top w:w="75" w:type="dxa"/>
              <w:left w:w="95" w:type="dxa"/>
              <w:bottom w:w="75" w:type="dxa"/>
              <w:right w:w="95" w:type="dxa"/>
            </w:tcMar>
          </w:tcPr>
          <w:p w14:paraId="00000056">
            <w:pPr>
              <w:spacing w:after="0" w:line="245" w:lineRule="auto"/>
            </w:pPr>
            <w:r>
              <w:rPr>
                <w:b w:val="0"/>
                <w:color w:val="000000"/>
                <w:sz w:val="20"/>
                <w:szCs w:val="20"/>
              </w:rPr>
              <w:t>Maintains the shared screen reference. The revised PDF in p9 is the primary implementation reference.</w:t>
            </w:r>
          </w:p>
        </w:tc>
      </w:tr>
    </w:tbl>
    <w:p w14:paraId="00000057">
      <w:pPr>
        <w:spacing w:after="0" w:before="0" w:line="240" w:lineRule="auto"/>
      </w:pPr>
    </w:p>
    <w:p w14:paraId="00000058">
      <w:pPr>
        <w:pStyle w:val="Heading2"/>
      </w:pPr>
      <w:r>
        <w:t>Shared structure and boundaries</w:t>
      </w:r>
    </w:p>
    <w:p w14:paraId="00000059">
      <w:r>
        <w:t>frontend/ contains the React application and shared Score Companion components. backend/config/ holds Django settings and routing; backend/scoreapi/ contains the API models, serializers, views, migrations, and tests. The component usage guide supports reuse while screen owners retain their own data and behavior.</w:t>
      </w:r>
    </w:p>
    <w:p w14:paraId="0000005A">
      <w:r>
        <w:t>The planned architecture is recorded in architecture.md. Authentication, cloud synchronization, production deployment, and a production database are outside P#9. Offline file caching and full PDF rendering are future work.</w:t>
      </w:r>
    </w:p>
    <w:p w14:paraId="0000005B">
      <w:r>
        <w:rPr>
          <w:b/>
        </w:rPr>
        <w:t>Team confirmation before submission:</w:t>
      </w:r>
      <w:r>
        <w:t xml:space="preserve"> verify that all members agree with these choices and confirm their individual AI tooling. Recommended tools are not claims that every member used each tool.</w:t>
      </w:r>
    </w:p>
    <w:p w14:paraId="0000005C">
      <w:r>
        <w:br w:type="page"/>
      </w:r>
    </w:p>
    <w:p w14:paraId="0000005D">
      <w:pPr>
        <w:pStyle w:val="Heading1"/>
      </w:pPr>
      <w:r>
        <w:t>Part 3 Screen ownership</w:t>
      </w:r>
    </w:p>
    <w:tbl>
      <w:tblPr>
        <w:tblW w:w="0" w:type="auto"/>
        <w:jc w:val="center"/>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2275"/>
        <w:gridCol w:w="3917"/>
        <w:gridCol w:w="1512"/>
        <w:gridCol w:w="2520"/>
      </w:tblGrid>
      <w:tr w14:paraId="0000005E">
        <w:trPr>
          <w:cantSplit/>
          <w:hidden w:val="0"/>
          <w:tblHeader/>
        </w:trPr>
        <w:tc>
          <w:tcPr>
            <w:tcW w:w="2275" w:type="dxa"/>
            <w:vAlign w:val="center"/>
            <w:shd w:fill="1C3553"/>
            <w:tcMar>
              <w:top w:w="75" w:type="dxa"/>
              <w:left w:w="95" w:type="dxa"/>
              <w:bottom w:w="75" w:type="dxa"/>
              <w:right w:w="95" w:type="dxa"/>
            </w:tcMar>
          </w:tcPr>
          <w:p w14:paraId="0000005F">
            <w:pPr>
              <w:spacing w:after="0" w:line="245" w:lineRule="auto"/>
            </w:pPr>
            <w:r>
              <w:rPr>
                <w:b/>
                <w:color w:val="FFFFFF"/>
                <w:sz w:val="20"/>
                <w:szCs w:val="20"/>
              </w:rPr>
              <w:t>Owner</w:t>
            </w:r>
          </w:p>
        </w:tc>
        <w:tc>
          <w:tcPr>
            <w:tcW w:w="3917" w:type="dxa"/>
            <w:vAlign w:val="center"/>
            <w:shd w:fill="1C3553"/>
            <w:tcMar>
              <w:top w:w="75" w:type="dxa"/>
              <w:left w:w="95" w:type="dxa"/>
              <w:bottom w:w="75" w:type="dxa"/>
              <w:right w:w="95" w:type="dxa"/>
            </w:tcMar>
          </w:tcPr>
          <w:p w14:paraId="00000060">
            <w:pPr>
              <w:spacing w:after="0" w:line="245" w:lineRule="auto"/>
            </w:pPr>
            <w:r>
              <w:rPr>
                <w:b/>
                <w:color w:val="FFFFFF"/>
                <w:sz w:val="20"/>
                <w:szCs w:val="20"/>
              </w:rPr>
              <w:t>Assigned screen</w:t>
            </w:r>
          </w:p>
        </w:tc>
        <w:tc>
          <w:tcPr>
            <w:tcW w:w="1512" w:type="dxa"/>
            <w:vAlign w:val="center"/>
            <w:shd w:fill="1C3553"/>
            <w:tcMar>
              <w:top w:w="75" w:type="dxa"/>
              <w:left w:w="95" w:type="dxa"/>
              <w:bottom w:w="75" w:type="dxa"/>
              <w:right w:w="95" w:type="dxa"/>
            </w:tcMar>
          </w:tcPr>
          <w:p w14:paraId="00000061">
            <w:pPr>
              <w:spacing w:after="0" w:line="245" w:lineRule="auto"/>
              <w:jc w:val="center"/>
            </w:pPr>
            <w:r>
              <w:rPr>
                <w:b/>
                <w:color w:val="FFFFFF"/>
                <w:sz w:val="20"/>
                <w:szCs w:val="20"/>
              </w:rPr>
              <w:t>Complexity</w:t>
            </w:r>
          </w:p>
        </w:tc>
        <w:tc>
          <w:tcPr>
            <w:tcW w:w="2520" w:type="dxa"/>
            <w:vAlign w:val="center"/>
            <w:shd w:fill="1C3553"/>
            <w:tcMar>
              <w:top w:w="75" w:type="dxa"/>
              <w:left w:w="95" w:type="dxa"/>
              <w:bottom w:w="75" w:type="dxa"/>
              <w:right w:w="95" w:type="dxa"/>
            </w:tcMar>
          </w:tcPr>
          <w:p w14:paraId="00000062">
            <w:pPr>
              <w:spacing w:after="0" w:line="245" w:lineRule="auto"/>
              <w:jc w:val="center"/>
            </w:pPr>
            <w:r>
              <w:rPr>
                <w:b/>
                <w:color w:val="FFFFFF"/>
                <w:sz w:val="20"/>
                <w:szCs w:val="20"/>
              </w:rPr>
              <w:t>GitLab issue</w:t>
            </w:r>
          </w:p>
        </w:tc>
      </w:tr>
      <w:tr w14:paraId="00000063">
        <w:trPr>
          <w:cantSplit/>
          <w:hidden w:val="0"/>
        </w:trPr>
        <w:tc>
          <w:tcPr>
            <w:tcW w:w="2275" w:type="dxa"/>
            <w:vAlign w:val="center"/>
            <w:shd w:fill="FFFFFF"/>
            <w:tcMar>
              <w:top w:w="75" w:type="dxa"/>
              <w:left w:w="95" w:type="dxa"/>
              <w:bottom w:w="75" w:type="dxa"/>
              <w:right w:w="95" w:type="dxa"/>
            </w:tcMar>
          </w:tcPr>
          <w:p w14:paraId="00000064">
            <w:pPr>
              <w:spacing w:after="0" w:line="245" w:lineRule="auto"/>
            </w:pPr>
            <w:r>
              <w:rPr>
                <w:b w:val="0"/>
                <w:color w:val="000000"/>
                <w:sz w:val="20"/>
                <w:szCs w:val="20"/>
              </w:rPr>
              <w:t>Ankit Joshi</w:t>
            </w:r>
          </w:p>
        </w:tc>
        <w:tc>
          <w:tcPr>
            <w:tcW w:w="3917" w:type="dxa"/>
            <w:vAlign w:val="center"/>
            <w:shd w:fill="FFFFFF"/>
            <w:tcMar>
              <w:top w:w="75" w:type="dxa"/>
              <w:left w:w="95" w:type="dxa"/>
              <w:bottom w:w="75" w:type="dxa"/>
              <w:right w:w="95" w:type="dxa"/>
            </w:tcMar>
          </w:tcPr>
          <w:p w14:paraId="00000065">
            <w:pPr>
              <w:spacing w:after="0" w:line="245" w:lineRule="auto"/>
            </w:pPr>
            <w:r>
              <w:rPr>
                <w:b w:val="0"/>
                <w:color w:val="000000"/>
                <w:sz w:val="20"/>
                <w:szCs w:val="20"/>
              </w:rPr>
              <w:t>Score Viewer and Navigation</w:t>
            </w:r>
          </w:p>
        </w:tc>
        <w:tc>
          <w:tcPr>
            <w:tcW w:w="1512" w:type="dxa"/>
            <w:vAlign w:val="center"/>
            <w:shd w:fill="FFFFFF"/>
            <w:tcMar>
              <w:top w:w="75" w:type="dxa"/>
              <w:left w:w="95" w:type="dxa"/>
              <w:bottom w:w="75" w:type="dxa"/>
              <w:right w:w="95" w:type="dxa"/>
            </w:tcMar>
          </w:tcPr>
          <w:p w14:paraId="00000066">
            <w:pPr>
              <w:spacing w:after="0" w:line="245" w:lineRule="auto"/>
              <w:jc w:val="center"/>
            </w:pPr>
            <w:r>
              <w:rPr>
                <w:b w:val="0"/>
                <w:color w:val="000000"/>
                <w:sz w:val="20"/>
                <w:szCs w:val="20"/>
              </w:rPr>
              <w:t>Hardest</w:t>
            </w:r>
          </w:p>
        </w:tc>
        <w:tc>
          <w:tcPr>
            <w:tcW w:w="2520" w:type="dxa"/>
            <w:vAlign w:val="center"/>
            <w:shd w:fill="FFFFFF"/>
            <w:tcMar>
              <w:top w:w="75" w:type="dxa"/>
              <w:left w:w="95" w:type="dxa"/>
              <w:bottom w:w="75" w:type="dxa"/>
              <w:right w:w="95" w:type="dxa"/>
            </w:tcMar>
          </w:tcPr>
          <w:p w14:paraId="00000067">
            <w:pPr>
              <w:spacing w:after="0" w:line="245" w:lineRule="auto"/>
              <w:jc w:val="center"/>
            </w:pPr>
            <w:r>
              <w:rPr>
                <w:b w:val="0"/>
                <w:color w:val="000000"/>
                <w:sz w:val="20"/>
                <w:szCs w:val="20"/>
              </w:rPr>
              <w:t>#24</w:t>
            </w:r>
          </w:p>
        </w:tc>
      </w:tr>
      <w:tr w14:paraId="00000068">
        <w:trPr>
          <w:cantSplit/>
          <w:hidden w:val="0"/>
        </w:trPr>
        <w:tc>
          <w:tcPr>
            <w:tcW w:w="2275" w:type="dxa"/>
            <w:vAlign w:val="center"/>
            <w:shd w:fill="EFF4FA"/>
            <w:tcMar>
              <w:top w:w="75" w:type="dxa"/>
              <w:left w:w="95" w:type="dxa"/>
              <w:bottom w:w="75" w:type="dxa"/>
              <w:right w:w="95" w:type="dxa"/>
            </w:tcMar>
          </w:tcPr>
          <w:p w14:paraId="00000069">
            <w:pPr>
              <w:spacing w:after="0" w:line="245" w:lineRule="auto"/>
            </w:pPr>
            <w:r>
              <w:rPr>
                <w:b w:val="0"/>
                <w:color w:val="000000"/>
                <w:sz w:val="20"/>
                <w:szCs w:val="20"/>
              </w:rPr>
              <w:t>Matthew Pisani</w:t>
            </w:r>
            <w:r>
              <w:rPr>
                <w:b w:val="0"/>
                <w:color w:val="000000"/>
                <w:sz w:val="20"/>
              </w:rPr>
              <w:br/>
            </w:r>
            <w:r>
              <w:rPr>
                <w:b w:val="0"/>
                <w:color w:val="000000"/>
                <w:sz w:val="20"/>
                <w:szCs w:val="20"/>
              </w:rPr>
              <w:t>Team Lead</w:t>
            </w:r>
          </w:p>
        </w:tc>
        <w:tc>
          <w:tcPr>
            <w:tcW w:w="3917" w:type="dxa"/>
            <w:vAlign w:val="center"/>
            <w:shd w:fill="EFF4FA"/>
            <w:tcMar>
              <w:top w:w="75" w:type="dxa"/>
              <w:left w:w="95" w:type="dxa"/>
              <w:bottom w:w="75" w:type="dxa"/>
              <w:right w:w="95" w:type="dxa"/>
            </w:tcMar>
          </w:tcPr>
          <w:p w14:paraId="0000006A">
            <w:pPr>
              <w:spacing w:after="0" w:line="245" w:lineRule="auto"/>
            </w:pPr>
            <w:r>
              <w:rPr>
                <w:b w:val="0"/>
                <w:color w:val="000000"/>
                <w:sz w:val="20"/>
                <w:szCs w:val="20"/>
              </w:rPr>
              <w:t>Measure Marker</w:t>
            </w:r>
          </w:p>
        </w:tc>
        <w:tc>
          <w:tcPr>
            <w:tcW w:w="1512" w:type="dxa"/>
            <w:vAlign w:val="center"/>
            <w:shd w:fill="EFF4FA"/>
            <w:tcMar>
              <w:top w:w="75" w:type="dxa"/>
              <w:left w:w="95" w:type="dxa"/>
              <w:bottom w:w="75" w:type="dxa"/>
              <w:right w:w="95" w:type="dxa"/>
            </w:tcMar>
          </w:tcPr>
          <w:p w14:paraId="0000006B">
            <w:pPr>
              <w:spacing w:after="0" w:line="245" w:lineRule="auto"/>
              <w:jc w:val="center"/>
            </w:pPr>
            <w:r>
              <w:rPr>
                <w:b w:val="0"/>
                <w:color w:val="000000"/>
                <w:sz w:val="20"/>
                <w:szCs w:val="20"/>
              </w:rPr>
              <w:t>Hard</w:t>
            </w:r>
          </w:p>
        </w:tc>
        <w:tc>
          <w:tcPr>
            <w:tcW w:w="2520" w:type="dxa"/>
            <w:vAlign w:val="center"/>
            <w:shd w:fill="EFF4FA"/>
            <w:tcMar>
              <w:top w:w="75" w:type="dxa"/>
              <w:left w:w="95" w:type="dxa"/>
              <w:bottom w:w="75" w:type="dxa"/>
              <w:right w:w="95" w:type="dxa"/>
            </w:tcMar>
          </w:tcPr>
          <w:p w14:paraId="0000006C">
            <w:pPr>
              <w:spacing w:after="0" w:line="245" w:lineRule="auto"/>
              <w:jc w:val="center"/>
            </w:pPr>
            <w:r>
              <w:rPr>
                <w:b w:val="0"/>
                <w:color w:val="000000"/>
                <w:sz w:val="20"/>
                <w:szCs w:val="20"/>
              </w:rPr>
              <w:t>#25</w:t>
            </w:r>
          </w:p>
        </w:tc>
      </w:tr>
      <w:tr w14:paraId="0000006D">
        <w:trPr>
          <w:cantSplit/>
          <w:hidden w:val="0"/>
        </w:trPr>
        <w:tc>
          <w:tcPr>
            <w:tcW w:w="2275" w:type="dxa"/>
            <w:vAlign w:val="center"/>
            <w:shd w:fill="FFFFFF"/>
            <w:tcMar>
              <w:top w:w="75" w:type="dxa"/>
              <w:left w:w="95" w:type="dxa"/>
              <w:bottom w:w="75" w:type="dxa"/>
              <w:right w:w="95" w:type="dxa"/>
            </w:tcMar>
          </w:tcPr>
          <w:p w14:paraId="0000006E">
            <w:pPr>
              <w:spacing w:after="0" w:line="245" w:lineRule="auto"/>
            </w:pPr>
            <w:r>
              <w:rPr>
                <w:b w:val="0"/>
                <w:color w:val="000000"/>
                <w:sz w:val="20"/>
                <w:szCs w:val="20"/>
              </w:rPr>
              <w:t>Jonathan Dempsey</w:t>
            </w:r>
          </w:p>
        </w:tc>
        <w:tc>
          <w:tcPr>
            <w:tcW w:w="3917" w:type="dxa"/>
            <w:vAlign w:val="center"/>
            <w:shd w:fill="FFFFFF"/>
            <w:tcMar>
              <w:top w:w="75" w:type="dxa"/>
              <w:left w:w="95" w:type="dxa"/>
              <w:bottom w:w="75" w:type="dxa"/>
              <w:right w:w="95" w:type="dxa"/>
            </w:tcMar>
          </w:tcPr>
          <w:p w14:paraId="0000006F">
            <w:pPr>
              <w:spacing w:after="0" w:line="245" w:lineRule="auto"/>
            </w:pPr>
            <w:r>
              <w:rPr>
                <w:b w:val="0"/>
                <w:color w:val="000000"/>
                <w:sz w:val="20"/>
                <w:szCs w:val="20"/>
              </w:rPr>
              <w:t>Practice Review</w:t>
            </w:r>
          </w:p>
        </w:tc>
        <w:tc>
          <w:tcPr>
            <w:tcW w:w="1512" w:type="dxa"/>
            <w:vAlign w:val="center"/>
            <w:shd w:fill="FFFFFF"/>
            <w:tcMar>
              <w:top w:w="75" w:type="dxa"/>
              <w:left w:w="95" w:type="dxa"/>
              <w:bottom w:w="75" w:type="dxa"/>
              <w:right w:w="95" w:type="dxa"/>
            </w:tcMar>
          </w:tcPr>
          <w:p w14:paraId="00000070">
            <w:pPr>
              <w:spacing w:after="0" w:line="245" w:lineRule="auto"/>
              <w:jc w:val="center"/>
            </w:pPr>
            <w:r>
              <w:rPr>
                <w:b w:val="0"/>
                <w:color w:val="000000"/>
                <w:sz w:val="20"/>
                <w:szCs w:val="20"/>
              </w:rPr>
              <w:t>Medium</w:t>
            </w:r>
          </w:p>
        </w:tc>
        <w:tc>
          <w:tcPr>
            <w:tcW w:w="2520" w:type="dxa"/>
            <w:vAlign w:val="center"/>
            <w:shd w:fill="FFFFFF"/>
            <w:tcMar>
              <w:top w:w="75" w:type="dxa"/>
              <w:left w:w="95" w:type="dxa"/>
              <w:bottom w:w="75" w:type="dxa"/>
              <w:right w:w="95" w:type="dxa"/>
            </w:tcMar>
          </w:tcPr>
          <w:p w14:paraId="00000071">
            <w:pPr>
              <w:spacing w:after="0" w:line="245" w:lineRule="auto"/>
              <w:jc w:val="center"/>
            </w:pPr>
            <w:r>
              <w:rPr>
                <w:b w:val="0"/>
                <w:color w:val="000000"/>
                <w:sz w:val="20"/>
                <w:szCs w:val="20"/>
              </w:rPr>
              <w:t>#26</w:t>
            </w:r>
          </w:p>
        </w:tc>
      </w:tr>
      <w:tr w14:paraId="00000072">
        <w:trPr>
          <w:cantSplit/>
          <w:hidden w:val="0"/>
        </w:trPr>
        <w:tc>
          <w:tcPr>
            <w:tcW w:w="2275" w:type="dxa"/>
            <w:vAlign w:val="center"/>
            <w:shd w:fill="EFF4FA"/>
            <w:tcMar>
              <w:top w:w="75" w:type="dxa"/>
              <w:left w:w="95" w:type="dxa"/>
              <w:bottom w:w="75" w:type="dxa"/>
              <w:right w:w="95" w:type="dxa"/>
            </w:tcMar>
          </w:tcPr>
          <w:p w14:paraId="00000073">
            <w:pPr>
              <w:spacing w:after="0" w:line="245" w:lineRule="auto"/>
            </w:pPr>
            <w:r>
              <w:rPr>
                <w:b w:val="0"/>
                <w:color w:val="000000"/>
                <w:sz w:val="20"/>
                <w:szCs w:val="20"/>
              </w:rPr>
              <w:t>Logan Broussard</w:t>
            </w:r>
          </w:p>
        </w:tc>
        <w:tc>
          <w:tcPr>
            <w:tcW w:w="3917" w:type="dxa"/>
            <w:vAlign w:val="center"/>
            <w:shd w:fill="EFF4FA"/>
            <w:tcMar>
              <w:top w:w="75" w:type="dxa"/>
              <w:left w:w="95" w:type="dxa"/>
              <w:bottom w:w="75" w:type="dxa"/>
              <w:right w:w="95" w:type="dxa"/>
            </w:tcMar>
          </w:tcPr>
          <w:p w14:paraId="00000074">
            <w:pPr>
              <w:spacing w:after="0" w:line="245" w:lineRule="auto"/>
            </w:pPr>
            <w:r>
              <w:rPr>
                <w:b w:val="0"/>
                <w:color w:val="000000"/>
                <w:sz w:val="20"/>
                <w:szCs w:val="20"/>
              </w:rPr>
              <w:t>Offline Score Library</w:t>
            </w:r>
          </w:p>
        </w:tc>
        <w:tc>
          <w:tcPr>
            <w:tcW w:w="1512" w:type="dxa"/>
            <w:vAlign w:val="center"/>
            <w:shd w:fill="EFF4FA"/>
            <w:tcMar>
              <w:top w:w="75" w:type="dxa"/>
              <w:left w:w="95" w:type="dxa"/>
              <w:bottom w:w="75" w:type="dxa"/>
              <w:right w:w="95" w:type="dxa"/>
            </w:tcMar>
          </w:tcPr>
          <w:p w14:paraId="00000075">
            <w:pPr>
              <w:spacing w:after="0" w:line="245" w:lineRule="auto"/>
              <w:jc w:val="center"/>
            </w:pPr>
            <w:r>
              <w:rPr>
                <w:b w:val="0"/>
                <w:color w:val="000000"/>
                <w:sz w:val="20"/>
                <w:szCs w:val="20"/>
              </w:rPr>
              <w:t>Easiest</w:t>
            </w:r>
          </w:p>
        </w:tc>
        <w:tc>
          <w:tcPr>
            <w:tcW w:w="2520" w:type="dxa"/>
            <w:vAlign w:val="center"/>
            <w:shd w:fill="EFF4FA"/>
            <w:tcMar>
              <w:top w:w="75" w:type="dxa"/>
              <w:left w:w="95" w:type="dxa"/>
              <w:bottom w:w="75" w:type="dxa"/>
              <w:right w:w="95" w:type="dxa"/>
            </w:tcMar>
          </w:tcPr>
          <w:p w14:paraId="00000076">
            <w:pPr>
              <w:spacing w:after="0" w:line="245" w:lineRule="auto"/>
              <w:jc w:val="center"/>
            </w:pPr>
            <w:r>
              <w:rPr>
                <w:b w:val="0"/>
                <w:color w:val="000000"/>
                <w:sz w:val="20"/>
                <w:szCs w:val="20"/>
              </w:rPr>
              <w:t>#27</w:t>
            </w:r>
          </w:p>
        </w:tc>
      </w:tr>
    </w:tbl>
    <w:p w14:paraId="00000077">
      <w:pPr>
        <w:spacing w:after="0" w:before="0" w:line="240" w:lineRule="auto"/>
      </w:pPr>
    </w:p>
    <w:p w14:paraId="00000078">
      <w:pPr>
        <w:pStyle w:val="Heading2"/>
      </w:pPr>
      <w:r>
        <w:t>Current implementation scope</w:t>
      </w:r>
    </w:p>
    <w:p w14:paraId="00000079">
      <w:pPr>
        <w:pStyle w:val="ListBullet"/>
        <w:spacing w:after="100"/>
      </w:pPr>
      <w:r>
        <w:t>Ankit: page controls, section selection, and measure navigation use API score and passage data. Empty-library and error states offer a labeled sample. Shared components support reuse. Notation remains illustrative rather than a rendered score PDF.</w:t>
      </w:r>
    </w:p>
    <w:p w14:paraId="0000007A">
      <w:pPr>
        <w:pStyle w:val="ListBullet"/>
        <w:spacing w:after="100"/>
      </w:pPr>
      <w:r>
        <w:t>Matthew: measures can be selected and saved independently; labels and a count reflect saved state. Demo marks persist in browser localStorage. They do not yet populate the backend or Jonathan’s Practice Review.</w:t>
      </w:r>
    </w:p>
    <w:p w14:paraId="0000007B">
      <w:pPr>
        <w:pStyle w:val="ListBullet"/>
        <w:spacing w:after="100"/>
      </w:pPr>
      <w:r>
        <w:t>Jonathan: Practice Review loads backend marks, displays score context and notes, and updates resolution status. Open passage targets the saved score, passage, and page in the viewer. An empty database displays an empty review.</w:t>
      </w:r>
    </w:p>
    <w:p w14:paraId="0000007C">
      <w:pPr>
        <w:pStyle w:val="ListBullet"/>
        <w:spacing w:after="100"/>
      </w:pPr>
      <w:r>
        <w:t>Logan: the library presents the revised downloaded-parts layout with sample entries and offline labels. Actual offline score caching and complete library-to-viewer integration remain future work.</w:t>
      </w:r>
    </w:p>
    <w:p w14:paraId="0000007D">
      <w:pPr>
        <w:pStyle w:val="Heading2"/>
      </w:pPr>
      <w:r>
        <w:t>Recorded application verification</w:t>
      </w:r>
    </w:p>
    <w:p w14:paraId="0000007E">
      <w:r>
        <w:t>Latest verification recorded October 26, 2026, for the code mirrored at commit dfc9438. The checks below verify the shared codebase, not every interaction on every member’s machine.</w:t>
      </w:r>
    </w:p>
    <w:tbl>
      <w:tblPr>
        <w:tblW w:w="0" w:type="auto"/>
        <w:jc w:val="center"/>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4464"/>
        <w:gridCol w:w="5760"/>
      </w:tblGrid>
      <w:tr w14:paraId="0000007F">
        <w:trPr>
          <w:cantSplit/>
          <w:hidden w:val="0"/>
          <w:tblHeader/>
        </w:trPr>
        <w:tc>
          <w:tcPr>
            <w:tcW w:w="4464" w:type="dxa"/>
            <w:vAlign w:val="center"/>
            <w:shd w:fill="1C3553"/>
            <w:tcMar>
              <w:top w:w="75" w:type="dxa"/>
              <w:left w:w="95" w:type="dxa"/>
              <w:bottom w:w="75" w:type="dxa"/>
              <w:right w:w="95" w:type="dxa"/>
            </w:tcMar>
          </w:tcPr>
          <w:p w14:paraId="00000080">
            <w:pPr>
              <w:spacing w:after="0" w:line="245" w:lineRule="auto"/>
            </w:pPr>
            <w:r>
              <w:rPr>
                <w:b/>
                <w:color w:val="FFFFFF"/>
                <w:sz w:val="20"/>
                <w:szCs w:val="20"/>
              </w:rPr>
              <w:t>Check</w:t>
            </w:r>
          </w:p>
        </w:tc>
        <w:tc>
          <w:tcPr>
            <w:tcW w:w="5760" w:type="dxa"/>
            <w:vAlign w:val="center"/>
            <w:shd w:fill="1C3553"/>
            <w:tcMar>
              <w:top w:w="75" w:type="dxa"/>
              <w:left w:w="95" w:type="dxa"/>
              <w:bottom w:w="75" w:type="dxa"/>
              <w:right w:w="95" w:type="dxa"/>
            </w:tcMar>
          </w:tcPr>
          <w:p w14:paraId="00000081">
            <w:pPr>
              <w:spacing w:after="0" w:line="245" w:lineRule="auto"/>
            </w:pPr>
            <w:r>
              <w:rPr>
                <w:b/>
                <w:color w:val="FFFFFF"/>
                <w:sz w:val="20"/>
                <w:szCs w:val="20"/>
              </w:rPr>
              <w:t>Recorded result</w:t>
            </w:r>
          </w:p>
        </w:tc>
      </w:tr>
      <w:tr w14:paraId="00000082">
        <w:trPr>
          <w:cantSplit/>
          <w:hidden w:val="0"/>
        </w:trPr>
        <w:tc>
          <w:tcPr>
            <w:tcW w:w="4464" w:type="dxa"/>
            <w:vAlign w:val="center"/>
            <w:shd w:fill="FFFFFF"/>
            <w:tcMar>
              <w:top w:w="75" w:type="dxa"/>
              <w:left w:w="95" w:type="dxa"/>
              <w:bottom w:w="75" w:type="dxa"/>
              <w:right w:w="95" w:type="dxa"/>
            </w:tcMar>
          </w:tcPr>
          <w:p w14:paraId="00000083">
            <w:pPr>
              <w:spacing w:after="0" w:line="245" w:lineRule="auto"/>
            </w:pPr>
            <w:r>
              <w:rPr>
                <w:b w:val="0"/>
                <w:color w:val="000000"/>
                <w:sz w:val="20"/>
                <w:szCs w:val="20"/>
              </w:rPr>
              <w:t>Frontend automated tests</w:t>
            </w:r>
          </w:p>
        </w:tc>
        <w:tc>
          <w:tcPr>
            <w:tcW w:w="5760" w:type="dxa"/>
            <w:vAlign w:val="center"/>
            <w:shd w:fill="FFFFFF"/>
            <w:tcMar>
              <w:top w:w="75" w:type="dxa"/>
              <w:left w:w="95" w:type="dxa"/>
              <w:bottom w:w="75" w:type="dxa"/>
              <w:right w:w="95" w:type="dxa"/>
            </w:tcMar>
          </w:tcPr>
          <w:p w14:paraId="00000084">
            <w:pPr>
              <w:spacing w:after="0" w:line="245" w:lineRule="auto"/>
            </w:pPr>
            <w:r>
              <w:rPr>
                <w:b w:val="0"/>
                <w:color w:val="000000"/>
                <w:sz w:val="20"/>
                <w:szCs w:val="20"/>
              </w:rPr>
              <w:t>14 passed</w:t>
            </w:r>
          </w:p>
        </w:tc>
      </w:tr>
      <w:tr w14:paraId="00000085">
        <w:trPr>
          <w:cantSplit/>
          <w:hidden w:val="0"/>
        </w:trPr>
        <w:tc>
          <w:tcPr>
            <w:tcW w:w="4464" w:type="dxa"/>
            <w:vAlign w:val="center"/>
            <w:shd w:fill="EFF4FA"/>
            <w:tcMar>
              <w:top w:w="75" w:type="dxa"/>
              <w:left w:w="95" w:type="dxa"/>
              <w:bottom w:w="75" w:type="dxa"/>
              <w:right w:w="95" w:type="dxa"/>
            </w:tcMar>
          </w:tcPr>
          <w:p w14:paraId="00000086">
            <w:pPr>
              <w:spacing w:after="0" w:line="245" w:lineRule="auto"/>
            </w:pPr>
            <w:r>
              <w:rPr>
                <w:b w:val="0"/>
                <w:color w:val="000000"/>
                <w:sz w:val="20"/>
                <w:szCs w:val="20"/>
              </w:rPr>
              <w:t>Backend API tests</w:t>
            </w:r>
          </w:p>
        </w:tc>
        <w:tc>
          <w:tcPr>
            <w:tcW w:w="5760" w:type="dxa"/>
            <w:vAlign w:val="center"/>
            <w:shd w:fill="EFF4FA"/>
            <w:tcMar>
              <w:top w:w="75" w:type="dxa"/>
              <w:left w:w="95" w:type="dxa"/>
              <w:bottom w:w="75" w:type="dxa"/>
              <w:right w:w="95" w:type="dxa"/>
            </w:tcMar>
          </w:tcPr>
          <w:p w14:paraId="00000087">
            <w:pPr>
              <w:spacing w:after="0" w:line="245" w:lineRule="auto"/>
            </w:pPr>
            <w:r>
              <w:rPr>
                <w:b w:val="0"/>
                <w:color w:val="000000"/>
                <w:sz w:val="20"/>
                <w:szCs w:val="20"/>
              </w:rPr>
              <w:t>8 passed</w:t>
            </w:r>
          </w:p>
        </w:tc>
      </w:tr>
      <w:tr w14:paraId="00000088">
        <w:trPr>
          <w:cantSplit/>
          <w:hidden w:val="0"/>
        </w:trPr>
        <w:tc>
          <w:tcPr>
            <w:tcW w:w="4464" w:type="dxa"/>
            <w:vAlign w:val="center"/>
            <w:shd w:fill="FFFFFF"/>
            <w:tcMar>
              <w:top w:w="75" w:type="dxa"/>
              <w:left w:w="95" w:type="dxa"/>
              <w:bottom w:w="75" w:type="dxa"/>
              <w:right w:w="95" w:type="dxa"/>
            </w:tcMar>
          </w:tcPr>
          <w:p w14:paraId="00000089">
            <w:pPr>
              <w:spacing w:after="0" w:line="245" w:lineRule="auto"/>
            </w:pPr>
            <w:r>
              <w:rPr>
                <w:b w:val="0"/>
                <w:color w:val="000000"/>
                <w:sz w:val="20"/>
                <w:szCs w:val="20"/>
              </w:rPr>
              <w:t>Frontend lint and production build</w:t>
            </w:r>
          </w:p>
        </w:tc>
        <w:tc>
          <w:tcPr>
            <w:tcW w:w="5760" w:type="dxa"/>
            <w:vAlign w:val="center"/>
            <w:shd w:fill="FFFFFF"/>
            <w:tcMar>
              <w:top w:w="75" w:type="dxa"/>
              <w:left w:w="95" w:type="dxa"/>
              <w:bottom w:w="75" w:type="dxa"/>
              <w:right w:w="95" w:type="dxa"/>
            </w:tcMar>
          </w:tcPr>
          <w:p w14:paraId="0000008A">
            <w:pPr>
              <w:spacing w:after="0" w:line="245" w:lineRule="auto"/>
            </w:pPr>
            <w:r>
              <w:rPr>
                <w:b w:val="0"/>
                <w:color w:val="000000"/>
                <w:sz w:val="20"/>
                <w:szCs w:val="20"/>
              </w:rPr>
              <w:t>Passed</w:t>
            </w:r>
          </w:p>
        </w:tc>
      </w:tr>
      <w:tr w14:paraId="0000008B">
        <w:trPr>
          <w:cantSplit/>
          <w:hidden w:val="0"/>
        </w:trPr>
        <w:tc>
          <w:tcPr>
            <w:tcW w:w="4464" w:type="dxa"/>
            <w:vAlign w:val="center"/>
            <w:shd w:fill="EFF4FA"/>
            <w:tcMar>
              <w:top w:w="75" w:type="dxa"/>
              <w:left w:w="95" w:type="dxa"/>
              <w:bottom w:w="75" w:type="dxa"/>
              <w:right w:w="95" w:type="dxa"/>
            </w:tcMar>
          </w:tcPr>
          <w:p w14:paraId="0000008C">
            <w:pPr>
              <w:spacing w:after="0" w:line="245" w:lineRule="auto"/>
            </w:pPr>
            <w:r>
              <w:rPr>
                <w:b w:val="0"/>
                <w:color w:val="000000"/>
                <w:sz w:val="20"/>
                <w:szCs w:val="20"/>
              </w:rPr>
              <w:t>Django system and migration checks</w:t>
            </w:r>
          </w:p>
        </w:tc>
        <w:tc>
          <w:tcPr>
            <w:tcW w:w="5760" w:type="dxa"/>
            <w:vAlign w:val="center"/>
            <w:shd w:fill="EFF4FA"/>
            <w:tcMar>
              <w:top w:w="75" w:type="dxa"/>
              <w:left w:w="95" w:type="dxa"/>
              <w:bottom w:w="75" w:type="dxa"/>
              <w:right w:w="95" w:type="dxa"/>
            </w:tcMar>
          </w:tcPr>
          <w:p w14:paraId="0000008D">
            <w:pPr>
              <w:spacing w:after="0" w:line="245" w:lineRule="auto"/>
            </w:pPr>
            <w:r>
              <w:rPr>
                <w:b w:val="0"/>
                <w:color w:val="000000"/>
                <w:sz w:val="20"/>
                <w:szCs w:val="20"/>
              </w:rPr>
              <w:t>Passed; no uncreated migrations</w:t>
            </w:r>
          </w:p>
        </w:tc>
      </w:tr>
      <w:tr w14:paraId="0000008E">
        <w:trPr>
          <w:cantSplit/>
          <w:hidden w:val="0"/>
        </w:trPr>
        <w:tc>
          <w:tcPr>
            <w:tcW w:w="4464" w:type="dxa"/>
            <w:vAlign w:val="center"/>
            <w:shd w:fill="FFFFFF"/>
            <w:tcMar>
              <w:top w:w="75" w:type="dxa"/>
              <w:left w:w="95" w:type="dxa"/>
              <w:bottom w:w="75" w:type="dxa"/>
              <w:right w:w="95" w:type="dxa"/>
            </w:tcMar>
          </w:tcPr>
          <w:p w14:paraId="0000008F">
            <w:pPr>
              <w:spacing w:after="0" w:line="245" w:lineRule="auto"/>
            </w:pPr>
            <w:r>
              <w:rPr>
                <w:b w:val="0"/>
                <w:color w:val="000000"/>
                <w:sz w:val="20"/>
                <w:szCs w:val="20"/>
              </w:rPr>
              <w:t>Live HTTP checks</w:t>
            </w:r>
          </w:p>
        </w:tc>
        <w:tc>
          <w:tcPr>
            <w:tcW w:w="5760" w:type="dxa"/>
            <w:vAlign w:val="center"/>
            <w:shd w:fill="FFFFFF"/>
            <w:tcMar>
              <w:top w:w="75" w:type="dxa"/>
              <w:left w:w="95" w:type="dxa"/>
              <w:bottom w:w="75" w:type="dxa"/>
              <w:right w:w="95" w:type="dxa"/>
            </w:tcMar>
          </w:tcPr>
          <w:p w14:paraId="00000090">
            <w:pPr>
              <w:spacing w:after="0" w:line="245" w:lineRule="auto"/>
            </w:pPr>
            <w:r>
              <w:rPr>
                <w:b w:val="0"/>
                <w:color w:val="000000"/>
                <w:sz w:val="20"/>
                <w:szCs w:val="20"/>
              </w:rPr>
              <w:t>Health endpoint, Practice Review API through Vite, and frontend response passed</w:t>
            </w:r>
          </w:p>
        </w:tc>
      </w:tr>
    </w:tbl>
    <w:p w14:paraId="00000091">
      <w:pPr>
        <w:spacing w:after="0" w:before="0" w:line="240" w:lineRule="auto"/>
      </w:pPr>
    </w:p>
    <w:p w14:paraId="00000092">
      <w:r>
        <w:t>The API implements score list/detail, score passages, practice-mark list/create/update, and the preserved health endpoint. API_CONTRACT.md documents examples, validation, and relationships. Interactive browser verification was unavailable during the latest check; the following member screenshots provide development-environment evidence.</w:t>
      </w:r>
    </w:p>
    <w:p w14:paraId="00000093">
      <w:r>
        <w:br w:type="page"/>
      </w:r>
    </w:p>
    <w:p w14:paraId="00000094">
      <w:pPr>
        <w:pStyle w:val="Heading1"/>
      </w:pPr>
      <w:r>
        <w:t>Part 4 Development environment evidence</w:t>
      </w:r>
    </w:p>
    <w:p w14:paraId="00000095">
      <w:r>
        <w:t>Screenshot #1 is required from every member with the app and IDE visible. These supplied captures show environment setup; three show the initial application shell rather than the final screen implementation.</w:t>
      </w:r>
    </w:p>
    <w:p w14:paraId="00000096">
      <w:pPr>
        <w:pStyle w:val="Caption"/>
        <w:keepNext/>
      </w:pPr>
      <w:r>
        <w:t>Figure 1  Ankit Joshi  |  App shell running with VS Code and Codex visible</w:t>
      </w:r>
    </w:p>
    <w:p w14:paraId="00000097">
      <w:pPr>
        <w:keepLines/>
        <w:spacing w:after="180"/>
        <w:jc w:val="center"/>
      </w:pPr>
      <w:r>
        <w:drawing>
          <wp:inline xmlns:a="http://schemas.openxmlformats.org/drawingml/2006/main" xmlns:pic="http://schemas.openxmlformats.org/drawingml/2006/picture">
            <wp:extent cx="6219825" cy="4038600"/>
            <wp:docPr id="1" name="Picture 1"/>
            <wp:cNvGraphicFramePr>
              <a:graphicFrameLocks noChangeAspect="1"/>
            </wp:cNvGraphicFramePr>
            <a:graphic>
              <a:graphicData uri="http://schemas.openxmlformats.org/drawingml/2006/picture">
                <pic:pic>
                  <pic:nvPicPr>
                    <pic:cNvPr id="1" name="ankit-app-running-vscode.png"/>
                    <pic:cNvPicPr/>
                  </pic:nvPicPr>
                  <pic:blipFill>
                    <a:blip r:embed="rId14"/>
                    <a:stretch>
                      <a:fillRect/>
                    </a:stretch>
                  </pic:blipFill>
                  <pic:spPr>
                    <a:xfrm>
                      <a:off x="0" y="0"/>
                      <a:ext cx="6217920" cy="4038194"/>
                    </a:xfrm>
                    <a:prstGeom prst="rect"/>
                  </pic:spPr>
                </pic:pic>
              </a:graphicData>
            </a:graphic>
            <wp:effectExtent l="0" t="0" r="0" b="0"/>
          </wp:inline>
        </w:drawing>
      </w:r>
    </w:p>
    <w:p w14:paraId="00000098">
      <w:pPr>
        <w:pStyle w:val="Caption"/>
        <w:keepNext/>
      </w:pPr>
      <w:r>
        <w:t>Figure 2  Logan Broussard  |  App shell and Vite terminal with VS Code visible</w:t>
      </w:r>
    </w:p>
    <w:p w14:paraId="00000099">
      <w:pPr>
        <w:keepLines/>
        <w:spacing w:after="180"/>
        <w:jc w:val="center"/>
      </w:pPr>
      <w:r>
        <w:drawing>
          <wp:inline xmlns:a="http://schemas.openxmlformats.org/drawingml/2006/main" xmlns:pic="http://schemas.openxmlformats.org/drawingml/2006/picture">
            <wp:extent cx="6219825" cy="3086100"/>
            <wp:docPr id="2" name="Picture 2"/>
            <wp:cNvGraphicFramePr>
              <a:graphicFrameLocks noChangeAspect="1"/>
            </wp:cNvGraphicFramePr>
            <a:graphic>
              <a:graphicData uri="http://schemas.openxmlformats.org/drawingml/2006/picture">
                <pic:pic>
                  <pic:nvPicPr>
                    <pic:cNvPr id="2" name="logan-app-running-vscode.png"/>
                    <pic:cNvPicPr/>
                  </pic:nvPicPr>
                  <pic:blipFill>
                    <a:blip r:embed="rId15"/>
                    <a:stretch>
                      <a:fillRect/>
                    </a:stretch>
                  </pic:blipFill>
                  <pic:spPr>
                    <a:xfrm>
                      <a:off x="0" y="0"/>
                      <a:ext cx="6217920" cy="3084115"/>
                    </a:xfrm>
                    <a:prstGeom prst="rect"/>
                  </pic:spPr>
                </pic:pic>
              </a:graphicData>
            </a:graphic>
            <wp:effectExtent l="0" t="0" r="0" b="0"/>
          </wp:inline>
        </w:drawing>
      </w:r>
    </w:p>
    <w:p w14:paraId="0000009A">
      <w:r>
        <w:br w:type="page"/>
      </w:r>
    </w:p>
    <w:p w14:paraId="0000009B">
      <w:pPr>
        <w:pStyle w:val="Heading1"/>
      </w:pPr>
      <w:r>
        <w:t>Part 4 Additional environment evidence</w:t>
      </w:r>
    </w:p>
    <w:p w14:paraId="0000009C">
      <w:pPr>
        <w:pStyle w:val="Caption"/>
        <w:keepNext/>
      </w:pPr>
      <w:r>
        <w:t>Figure 3  Matthew Pisani  |  Measure Marker running beside VS Code and terminal</w:t>
      </w:r>
    </w:p>
    <w:p w14:paraId="0000009D">
      <w:pPr>
        <w:keepLines/>
        <w:spacing w:after="180"/>
        <w:jc w:val="center"/>
      </w:pPr>
      <w:r>
        <w:drawing>
          <wp:inline xmlns:a="http://schemas.openxmlformats.org/drawingml/2006/main" xmlns:pic="http://schemas.openxmlformats.org/drawingml/2006/picture">
            <wp:extent cx="6219825" cy="3714750"/>
            <wp:docPr id="3" name="Picture 3"/>
            <wp:cNvGraphicFramePr>
              <a:graphicFrameLocks noChangeAspect="1"/>
            </wp:cNvGraphicFramePr>
            <a:graphic>
              <a:graphicData uri="http://schemas.openxmlformats.org/drawingml/2006/picture">
                <pic:pic>
                  <pic:nvPicPr>
                    <pic:cNvPr id="3" name="matthew-measure-marker-running-vscode.png"/>
                    <pic:cNvPicPr/>
                  </pic:nvPicPr>
                  <pic:blipFill>
                    <a:blip r:embed="rId16"/>
                    <a:stretch>
                      <a:fillRect/>
                    </a:stretch>
                  </pic:blipFill>
                  <pic:spPr>
                    <a:xfrm>
                      <a:off x="0" y="0"/>
                      <a:ext cx="6217920" cy="3712551"/>
                    </a:xfrm>
                    <a:prstGeom prst="rect"/>
                  </pic:spPr>
                </pic:pic>
              </a:graphicData>
            </a:graphic>
            <wp:effectExtent l="0" t="0" r="0" b="0"/>
          </wp:inline>
        </w:drawing>
      </w:r>
    </w:p>
    <w:p w14:paraId="0000009E">
      <w:pPr>
        <w:pStyle w:val="Caption"/>
        <w:keepNext/>
      </w:pPr>
      <w:r>
        <w:t>Figure 4  Jonathan Dempsey  |  Practice Review placeholder route in the initial shell with VS Code visible</w:t>
      </w:r>
    </w:p>
    <w:p w14:paraId="0000009F">
      <w:pPr>
        <w:keepLines/>
        <w:spacing w:after="180"/>
        <w:jc w:val="center"/>
      </w:pPr>
      <w:r>
        <w:drawing>
          <wp:inline xmlns:a="http://schemas.openxmlformats.org/drawingml/2006/main" xmlns:pic="http://schemas.openxmlformats.org/drawingml/2006/picture">
            <wp:extent cx="6219825" cy="3333750"/>
            <wp:docPr id="4" name="Picture 4"/>
            <wp:cNvGraphicFramePr>
              <a:graphicFrameLocks noChangeAspect="1"/>
            </wp:cNvGraphicFramePr>
            <a:graphic>
              <a:graphicData uri="http://schemas.openxmlformats.org/drawingml/2006/picture">
                <pic:pic>
                  <pic:nvPicPr>
                    <pic:cNvPr id="4" name="jonathan-app-shell-running-vscode.png"/>
                    <pic:cNvPicPr/>
                  </pic:nvPicPr>
                  <pic:blipFill>
                    <a:blip r:embed="rId17"/>
                    <a:stretch>
                      <a:fillRect/>
                    </a:stretch>
                  </pic:blipFill>
                  <pic:spPr>
                    <a:xfrm>
                      <a:off x="0" y="0"/>
                      <a:ext cx="6217920" cy="3330913"/>
                    </a:xfrm>
                    <a:prstGeom prst="rect"/>
                  </pic:spPr>
                </pic:pic>
              </a:graphicData>
            </a:graphic>
            <wp:effectExtent l="0" t="0" r="0" b="0"/>
          </wp:inline>
        </w:drawing>
      </w:r>
    </w:p>
    <w:p w14:paraId="000000A0">
      <w:r>
        <w:t>All four original files are retained under p9/Screenshots/. These captures establish the supplied setup evidence; they do not demonstrate that the current four screens or every API action were tested on all four machines.</w:t>
      </w:r>
    </w:p>
    <w:p w14:paraId="000000A1">
      <w:r>
        <w:br w:type="page"/>
      </w:r>
    </w:p>
    <w:p w14:paraId="000000A2">
      <w:pPr>
        <w:pStyle w:val="Heading1"/>
      </w:pPr>
      <w:r>
        <w:t>Part 5 Reviewed and merged work</w:t>
      </w:r>
    </w:p>
    <w:p w14:paraId="000000A3">
      <w:r>
        <w:t>Screenshot #2 uses Matthew’s Measure Marker merge request !4. The capture shows Merged, Closes #25 (closed), and approval by Ankit Joshi, who is a teammate of the author. The merge entered main as 4b665f6 on October 26, 2026.</w:t>
      </w:r>
    </w:p>
    <w:p w14:paraId="000000A4">
      <w:hyperlink w:history="1" r:id="rId18">
        <w:r>
          <w:rPr>
            <w:color w:val="174A81"/>
            <w:rStyle w:val="Hyperlink"/>
          </w:rPr>
          <w:t>Approved and merged MR 4</w:t>
        </w:r>
      </w:hyperlink>
      <w:r>
        <w:t xml:space="preserve">  |  </w:t>
      </w:r>
      <w:hyperlink w:history="1" r:id="rId19">
        <w:r>
          <w:rPr>
            <w:color w:val="174A81"/>
            <w:rStyle w:val="Hyperlink"/>
          </w:rPr>
          <w:t>Linked screen issue 25</w:t>
        </w:r>
      </w:hyperlink>
    </w:p>
    <w:p w14:paraId="000000A5">
      <w:pPr>
        <w:pStyle w:val="Caption"/>
        <w:keepNext/>
      </w:pPr>
      <w:r>
        <w:t>Figure 5  Screenshot 2  |  Matthew’s MR 4 approved by Ankit and merged into main</w:t>
      </w:r>
    </w:p>
    <w:p w14:paraId="000000A6">
      <w:pPr>
        <w:keepLines/>
        <w:spacing w:after="180"/>
        <w:jc w:val="center"/>
      </w:pPr>
      <w:r>
        <w:drawing>
          <wp:inline xmlns:a="http://schemas.openxmlformats.org/drawingml/2006/main" xmlns:pic="http://schemas.openxmlformats.org/drawingml/2006/picture">
            <wp:extent cx="6400800" cy="4152900"/>
            <wp:docPr id="5" name="Picture 5"/>
            <wp:cNvGraphicFramePr>
              <a:graphicFrameLocks noChangeAspect="1"/>
            </wp:cNvGraphicFramePr>
            <a:graphic>
              <a:graphicData uri="http://schemas.openxmlformats.org/drawingml/2006/picture">
                <pic:pic>
                  <pic:nvPicPr>
                    <pic:cNvPr id="5" name="measure-marker-mr4-approved-and-merged.png"/>
                    <pic:cNvPicPr/>
                  </pic:nvPicPr>
                  <pic:blipFill>
                    <a:blip r:embed="rId20"/>
                    <a:stretch>
                      <a:fillRect/>
                    </a:stretch>
                  </pic:blipFill>
                  <pic:spPr>
                    <a:xfrm>
                      <a:off x="0" y="0"/>
                      <a:ext cx="6400800" cy="4156964"/>
                    </a:xfrm>
                    <a:prstGeom prst="rect"/>
                  </pic:spPr>
                </pic:pic>
              </a:graphicData>
            </a:graphic>
            <wp:effectExtent l="0" t="0" r="0" b="0"/>
          </wp:inline>
        </w:drawing>
      </w:r>
    </w:p>
    <w:tbl>
      <w:tblPr>
        <w:tblW w:w="0" w:type="auto"/>
        <w:jc w:val="center"/>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440"/>
        <w:gridCol w:w="1512"/>
        <w:gridCol w:w="7272"/>
      </w:tblGrid>
      <w:tr w14:paraId="000000A7">
        <w:trPr>
          <w:cantSplit/>
          <w:hidden w:val="0"/>
          <w:tblHeader/>
        </w:trPr>
        <w:tc>
          <w:tcPr>
            <w:tcW w:w="1440" w:type="dxa"/>
            <w:vAlign w:val="center"/>
            <w:shd w:fill="1C3553"/>
            <w:tcMar>
              <w:top w:w="75" w:type="dxa"/>
              <w:left w:w="95" w:type="dxa"/>
              <w:bottom w:w="75" w:type="dxa"/>
              <w:right w:w="95" w:type="dxa"/>
            </w:tcMar>
          </w:tcPr>
          <w:p w14:paraId="000000A8">
            <w:pPr>
              <w:spacing w:after="0" w:line="245" w:lineRule="auto"/>
            </w:pPr>
            <w:r>
              <w:rPr>
                <w:b/>
                <w:color w:val="FFFFFF"/>
                <w:sz w:val="20"/>
                <w:szCs w:val="20"/>
              </w:rPr>
              <w:t>Member</w:t>
            </w:r>
          </w:p>
        </w:tc>
        <w:tc>
          <w:tcPr>
            <w:tcW w:w="1512" w:type="dxa"/>
            <w:vAlign w:val="center"/>
            <w:shd w:fill="1C3553"/>
            <w:tcMar>
              <w:top w:w="75" w:type="dxa"/>
              <w:left w:w="95" w:type="dxa"/>
              <w:bottom w:w="75" w:type="dxa"/>
              <w:right w:w="95" w:type="dxa"/>
            </w:tcMar>
          </w:tcPr>
          <w:p w14:paraId="000000A9">
            <w:pPr>
              <w:spacing w:after="0" w:line="245" w:lineRule="auto"/>
            </w:pPr>
            <w:r>
              <w:rPr>
                <w:b/>
                <w:color w:val="FFFFFF"/>
                <w:sz w:val="20"/>
                <w:szCs w:val="20"/>
              </w:rPr>
              <w:t>Screen issue</w:t>
            </w:r>
          </w:p>
        </w:tc>
        <w:tc>
          <w:tcPr>
            <w:tcW w:w="7272" w:type="dxa"/>
            <w:vAlign w:val="center"/>
            <w:shd w:fill="1C3553"/>
            <w:tcMar>
              <w:top w:w="75" w:type="dxa"/>
              <w:left w:w="95" w:type="dxa"/>
              <w:bottom w:w="75" w:type="dxa"/>
              <w:right w:w="95" w:type="dxa"/>
            </w:tcMar>
          </w:tcPr>
          <w:p w14:paraId="000000AA">
            <w:pPr>
              <w:spacing w:after="0" w:line="245" w:lineRule="auto"/>
            </w:pPr>
            <w:r>
              <w:rPr>
                <w:b/>
                <w:color w:val="FFFFFF"/>
                <w:sz w:val="20"/>
                <w:szCs w:val="20"/>
              </w:rPr>
              <w:t>Recorded integration history</w:t>
            </w:r>
          </w:p>
        </w:tc>
      </w:tr>
      <w:tr w14:paraId="000000AB">
        <w:trPr>
          <w:cantSplit/>
          <w:hidden w:val="0"/>
        </w:trPr>
        <w:tc>
          <w:tcPr>
            <w:tcW w:w="1440" w:type="dxa"/>
            <w:vAlign w:val="center"/>
            <w:shd w:fill="FFFFFF"/>
            <w:tcMar>
              <w:top w:w="75" w:type="dxa"/>
              <w:left w:w="95" w:type="dxa"/>
              <w:bottom w:w="75" w:type="dxa"/>
              <w:right w:w="95" w:type="dxa"/>
            </w:tcMar>
          </w:tcPr>
          <w:p w14:paraId="000000AC">
            <w:pPr>
              <w:spacing w:after="0" w:line="245" w:lineRule="auto"/>
            </w:pPr>
            <w:r>
              <w:rPr>
                <w:b w:val="0"/>
                <w:color w:val="000000"/>
                <w:sz w:val="20"/>
                <w:szCs w:val="20"/>
              </w:rPr>
              <w:t>Ankit</w:t>
            </w:r>
          </w:p>
        </w:tc>
        <w:tc>
          <w:tcPr>
            <w:tcW w:w="1512" w:type="dxa"/>
            <w:vAlign w:val="center"/>
            <w:shd w:fill="FFFFFF"/>
            <w:tcMar>
              <w:top w:w="75" w:type="dxa"/>
              <w:left w:w="95" w:type="dxa"/>
              <w:bottom w:w="75" w:type="dxa"/>
              <w:right w:w="95" w:type="dxa"/>
            </w:tcMar>
          </w:tcPr>
          <w:p w14:paraId="000000AD">
            <w:pPr>
              <w:spacing w:after="0" w:line="245" w:lineRule="auto"/>
            </w:pPr>
            <w:r>
              <w:rPr>
                <w:b w:val="0"/>
                <w:color w:val="000000"/>
                <w:sz w:val="20"/>
                <w:szCs w:val="20"/>
              </w:rPr>
              <w:t>#24 closed</w:t>
            </w:r>
          </w:p>
        </w:tc>
        <w:tc>
          <w:tcPr>
            <w:tcW w:w="7272" w:type="dxa"/>
            <w:vAlign w:val="center"/>
            <w:shd w:fill="FFFFFF"/>
            <w:tcMar>
              <w:top w:w="75" w:type="dxa"/>
              <w:left w:w="95" w:type="dxa"/>
              <w:bottom w:w="75" w:type="dxa"/>
              <w:right w:w="95" w:type="dxa"/>
            </w:tcMar>
          </w:tcPr>
          <w:p w14:paraId="000000AE">
            <w:pPr>
              <w:spacing w:after="0" w:line="245" w:lineRule="auto"/>
            </w:pPr>
            <w:r>
              <w:rPr>
                <w:b w:val="0"/>
                <w:color w:val="000000"/>
                <w:sz w:val="20"/>
                <w:szCs w:val="20"/>
              </w:rPr>
              <w:t>MR !6 merged. Confirm a teammate review record before claiming the complete review workflow.</w:t>
            </w:r>
          </w:p>
        </w:tc>
      </w:tr>
      <w:tr w14:paraId="000000AF">
        <w:trPr>
          <w:cantSplit/>
          <w:hidden w:val="0"/>
        </w:trPr>
        <w:tc>
          <w:tcPr>
            <w:tcW w:w="1440" w:type="dxa"/>
            <w:vAlign w:val="center"/>
            <w:shd w:fill="EFF4FA"/>
            <w:tcMar>
              <w:top w:w="75" w:type="dxa"/>
              <w:left w:w="95" w:type="dxa"/>
              <w:bottom w:w="75" w:type="dxa"/>
              <w:right w:w="95" w:type="dxa"/>
            </w:tcMar>
          </w:tcPr>
          <w:p w14:paraId="000000B0">
            <w:pPr>
              <w:spacing w:after="0" w:line="245" w:lineRule="auto"/>
            </w:pPr>
            <w:r>
              <w:rPr>
                <w:b w:val="0"/>
                <w:color w:val="000000"/>
                <w:sz w:val="20"/>
                <w:szCs w:val="20"/>
              </w:rPr>
              <w:t>Matthew</w:t>
            </w:r>
          </w:p>
        </w:tc>
        <w:tc>
          <w:tcPr>
            <w:tcW w:w="1512" w:type="dxa"/>
            <w:vAlign w:val="center"/>
            <w:shd w:fill="EFF4FA"/>
            <w:tcMar>
              <w:top w:w="75" w:type="dxa"/>
              <w:left w:w="95" w:type="dxa"/>
              <w:bottom w:w="75" w:type="dxa"/>
              <w:right w:w="95" w:type="dxa"/>
            </w:tcMar>
          </w:tcPr>
          <w:p w14:paraId="000000B1">
            <w:pPr>
              <w:spacing w:after="0" w:line="245" w:lineRule="auto"/>
            </w:pPr>
            <w:r>
              <w:rPr>
                <w:b w:val="0"/>
                <w:color w:val="000000"/>
                <w:sz w:val="20"/>
                <w:szCs w:val="20"/>
              </w:rPr>
              <w:t>#25 closed</w:t>
            </w:r>
          </w:p>
        </w:tc>
        <w:tc>
          <w:tcPr>
            <w:tcW w:w="7272" w:type="dxa"/>
            <w:vAlign w:val="center"/>
            <w:shd w:fill="EFF4FA"/>
            <w:tcMar>
              <w:top w:w="75" w:type="dxa"/>
              <w:left w:w="95" w:type="dxa"/>
              <w:bottom w:w="75" w:type="dxa"/>
              <w:right w:w="95" w:type="dxa"/>
            </w:tcMar>
          </w:tcPr>
          <w:p w14:paraId="000000B2">
            <w:pPr>
              <w:spacing w:after="0" w:line="245" w:lineRule="auto"/>
            </w:pPr>
            <w:r>
              <w:rPr>
                <w:b w:val="0"/>
                <w:color w:val="000000"/>
                <w:sz w:val="20"/>
                <w:szCs w:val="20"/>
              </w:rPr>
              <w:t>MR !4 approved by Ankit and merged. Figure 5 provides the required approval and merge evidence.</w:t>
            </w:r>
          </w:p>
        </w:tc>
      </w:tr>
      <w:tr w14:paraId="000000B3">
        <w:trPr>
          <w:cantSplit/>
          <w:hidden w:val="0"/>
        </w:trPr>
        <w:tc>
          <w:tcPr>
            <w:tcW w:w="1440" w:type="dxa"/>
            <w:vAlign w:val="center"/>
            <w:shd w:fill="FFFFFF"/>
            <w:tcMar>
              <w:top w:w="75" w:type="dxa"/>
              <w:left w:w="95" w:type="dxa"/>
              <w:bottom w:w="75" w:type="dxa"/>
              <w:right w:w="95" w:type="dxa"/>
            </w:tcMar>
          </w:tcPr>
          <w:p w14:paraId="000000B4">
            <w:pPr>
              <w:spacing w:after="0" w:line="245" w:lineRule="auto"/>
            </w:pPr>
            <w:r>
              <w:rPr>
                <w:b w:val="0"/>
                <w:color w:val="000000"/>
                <w:sz w:val="20"/>
                <w:szCs w:val="20"/>
              </w:rPr>
              <w:t>Jonathan</w:t>
            </w:r>
          </w:p>
        </w:tc>
        <w:tc>
          <w:tcPr>
            <w:tcW w:w="1512" w:type="dxa"/>
            <w:vAlign w:val="center"/>
            <w:shd w:fill="FFFFFF"/>
            <w:tcMar>
              <w:top w:w="75" w:type="dxa"/>
              <w:left w:w="95" w:type="dxa"/>
              <w:bottom w:w="75" w:type="dxa"/>
              <w:right w:w="95" w:type="dxa"/>
            </w:tcMar>
          </w:tcPr>
          <w:p w14:paraId="000000B5">
            <w:pPr>
              <w:spacing w:after="0" w:line="245" w:lineRule="auto"/>
            </w:pPr>
            <w:r>
              <w:rPr>
                <w:b w:val="0"/>
                <w:color w:val="000000"/>
                <w:sz w:val="20"/>
                <w:szCs w:val="20"/>
              </w:rPr>
              <w:t>#26 closed</w:t>
            </w:r>
          </w:p>
        </w:tc>
        <w:tc>
          <w:tcPr>
            <w:tcW w:w="7272" w:type="dxa"/>
            <w:vAlign w:val="center"/>
            <w:shd w:fill="FFFFFF"/>
            <w:tcMar>
              <w:top w:w="75" w:type="dxa"/>
              <w:left w:w="95" w:type="dxa"/>
              <w:bottom w:w="75" w:type="dxa"/>
              <w:right w:w="95" w:type="dxa"/>
            </w:tcMar>
          </w:tcPr>
          <w:p w14:paraId="000000B6">
            <w:pPr>
              <w:spacing w:after="0" w:line="245" w:lineRule="auto"/>
            </w:pPr>
            <w:r>
              <w:rPr>
                <w:b w:val="0"/>
                <w:color w:val="000000"/>
                <w:sz w:val="20"/>
                <w:szCs w:val="20"/>
              </w:rPr>
              <w:t>Screen commit 00deda8 was already in main; passage navigation was completed in 8fb442c. Empty draft MR !7 was closed, not merged.</w:t>
            </w:r>
          </w:p>
        </w:tc>
      </w:tr>
      <w:tr w14:paraId="000000B7">
        <w:trPr>
          <w:cantSplit/>
          <w:hidden w:val="0"/>
        </w:trPr>
        <w:tc>
          <w:tcPr>
            <w:tcW w:w="1440" w:type="dxa"/>
            <w:vAlign w:val="center"/>
            <w:shd w:fill="EFF4FA"/>
            <w:tcMar>
              <w:top w:w="75" w:type="dxa"/>
              <w:left w:w="95" w:type="dxa"/>
              <w:bottom w:w="75" w:type="dxa"/>
              <w:right w:w="95" w:type="dxa"/>
            </w:tcMar>
          </w:tcPr>
          <w:p w14:paraId="000000B8">
            <w:pPr>
              <w:spacing w:after="0" w:line="245" w:lineRule="auto"/>
            </w:pPr>
            <w:r>
              <w:rPr>
                <w:b w:val="0"/>
                <w:color w:val="000000"/>
                <w:sz w:val="20"/>
                <w:szCs w:val="20"/>
              </w:rPr>
              <w:t>Logan</w:t>
            </w:r>
          </w:p>
        </w:tc>
        <w:tc>
          <w:tcPr>
            <w:tcW w:w="1512" w:type="dxa"/>
            <w:vAlign w:val="center"/>
            <w:shd w:fill="EFF4FA"/>
            <w:tcMar>
              <w:top w:w="75" w:type="dxa"/>
              <w:left w:w="95" w:type="dxa"/>
              <w:bottom w:w="75" w:type="dxa"/>
              <w:right w:w="95" w:type="dxa"/>
            </w:tcMar>
          </w:tcPr>
          <w:p w14:paraId="000000B9">
            <w:pPr>
              <w:spacing w:after="0" w:line="245" w:lineRule="auto"/>
            </w:pPr>
            <w:r>
              <w:rPr>
                <w:b w:val="0"/>
                <w:color w:val="000000"/>
                <w:sz w:val="20"/>
                <w:szCs w:val="20"/>
              </w:rPr>
              <w:t>#27 closed</w:t>
            </w:r>
          </w:p>
        </w:tc>
        <w:tc>
          <w:tcPr>
            <w:tcW w:w="7272" w:type="dxa"/>
            <w:vAlign w:val="center"/>
            <w:shd w:fill="EFF4FA"/>
            <w:tcMar>
              <w:top w:w="75" w:type="dxa"/>
              <w:left w:w="95" w:type="dxa"/>
              <w:bottom w:w="75" w:type="dxa"/>
              <w:right w:w="95" w:type="dxa"/>
            </w:tcMar>
          </w:tcPr>
          <w:p w14:paraId="000000BA">
            <w:pPr>
              <w:spacing w:after="0" w:line="245" w:lineRule="auto"/>
            </w:pPr>
            <w:r>
              <w:rPr>
                <w:b w:val="0"/>
                <w:color w:val="000000"/>
                <w:sz w:val="20"/>
                <w:szCs w:val="20"/>
              </w:rPr>
              <w:t>MR !3 merged. Confirm a teammate review record before claiming the complete review workflow.</w:t>
            </w:r>
          </w:p>
        </w:tc>
      </w:tr>
    </w:tbl>
    <w:p w14:paraId="000000BB">
      <w:pPr>
        <w:spacing w:after="0" w:before="0" w:line="240" w:lineRule="auto"/>
      </w:pPr>
    </w:p>
    <w:p w14:paraId="000000BC">
      <w:r>
        <w:t>All four screen issues and both shared setup/API repair issues are closed in the October 26 tracker snapshot. The P#9 milestone remains active for the report and submission. Implementation in main does not by itself establish a reviewed, issue-closing MR for every member.</w:t>
      </w:r>
    </w:p>
    <w:p w14:paraId="000000BD">
      <w:r>
        <w:br w:type="page"/>
      </w:r>
    </w:p>
    <w:p w14:paraId="000000BE">
      <w:pPr>
        <w:pStyle w:val="Heading1"/>
      </w:pPr>
      <w:r>
        <w:t>Setup and final team review</w:t>
      </w:r>
    </w:p>
    <w:p w14:paraId="000000BF">
      <w:r>
        <w:t>From the repository root, use Python 3.12 or newer, Node.js LTS, and Git. The commands below are for macOS or Linux. Run the backend and frontend in separate terminals.</w:t>
      </w:r>
    </w:p>
    <w:p w14:paraId="000000C0">
      <w:pPr>
        <w:pStyle w:val="Heading2"/>
      </w:pPr>
      <w:r>
        <w:t>Backend</w:t>
      </w:r>
    </w:p>
    <w:p w14:paraId="000000C1">
      <w:pPr>
        <w:spacing w:after="20" w:line="240" w:lineRule="auto"/>
        <w:ind w:left="173"/>
      </w:pPr>
      <w:r>
        <w:rPr>
          <w:rFonts w:ascii="Liberation Mono" w:hAnsi="Liberation Mono" w:eastAsiaTheme="minorEastAsia" w:cstheme="minorBidi"/>
          <w:sz w:val="19"/>
          <w:szCs w:val="19"/>
        </w:rPr>
        <w:t>python3.12 -m venv backend/.venv</w:t>
      </w:r>
    </w:p>
    <w:p w14:paraId="000000C2">
      <w:pPr>
        <w:spacing w:after="20" w:line="240" w:lineRule="auto"/>
        <w:ind w:left="173"/>
      </w:pPr>
      <w:r>
        <w:rPr>
          <w:rFonts w:ascii="Liberation Mono" w:hAnsi="Liberation Mono" w:eastAsiaTheme="minorEastAsia" w:cstheme="minorBidi"/>
          <w:sz w:val="19"/>
          <w:szCs w:val="19"/>
        </w:rPr>
        <w:t>backend/.venv/bin/pip install -r backend/requirements.txt</w:t>
      </w:r>
    </w:p>
    <w:p w14:paraId="000000C3">
      <w:pPr>
        <w:spacing w:after="20" w:line="240" w:lineRule="auto"/>
        <w:ind w:left="173"/>
      </w:pPr>
      <w:r>
        <w:rPr>
          <w:rFonts w:ascii="Liberation Mono" w:hAnsi="Liberation Mono" w:eastAsiaTheme="minorEastAsia" w:cstheme="minorBidi"/>
          <w:sz w:val="19"/>
          <w:szCs w:val="19"/>
        </w:rPr>
        <w:t>backend/.venv/bin/python backend/manage.py migrate</w:t>
      </w:r>
    </w:p>
    <w:p w14:paraId="000000C4">
      <w:pPr>
        <w:spacing w:after="20" w:line="240" w:lineRule="auto"/>
        <w:ind w:left="173"/>
      </w:pPr>
      <w:r>
        <w:rPr>
          <w:rFonts w:ascii="Liberation Mono" w:hAnsi="Liberation Mono" w:eastAsiaTheme="minorEastAsia" w:cstheme="minorBidi"/>
          <w:sz w:val="19"/>
          <w:szCs w:val="19"/>
        </w:rPr>
        <w:t>backend/.venv/bin/python backend/manage.py runserver</w:t>
      </w:r>
    </w:p>
    <w:p w14:paraId="000000C5">
      <w:pPr>
        <w:pStyle w:val="Heading2"/>
      </w:pPr>
      <w:r>
        <w:t>Frontend</w:t>
      </w:r>
    </w:p>
    <w:p w14:paraId="000000C6">
      <w:pPr>
        <w:spacing w:after="20" w:line="240" w:lineRule="auto"/>
        <w:ind w:left="173"/>
      </w:pPr>
      <w:r>
        <w:rPr>
          <w:rFonts w:ascii="Liberation Mono" w:hAnsi="Liberation Mono" w:eastAsiaTheme="minorEastAsia" w:cstheme="minorBidi"/>
          <w:sz w:val="19"/>
          <w:szCs w:val="19"/>
        </w:rPr>
        <w:t>cd frontend</w:t>
      </w:r>
    </w:p>
    <w:p w14:paraId="000000C7">
      <w:pPr>
        <w:spacing w:after="20" w:line="240" w:lineRule="auto"/>
        <w:ind w:left="173"/>
      </w:pPr>
      <w:r>
        <w:rPr>
          <w:rFonts w:ascii="Liberation Mono" w:hAnsi="Liberation Mono" w:eastAsiaTheme="minorEastAsia" w:cstheme="minorBidi"/>
          <w:sz w:val="19"/>
          <w:szCs w:val="19"/>
        </w:rPr>
        <w:t>npm install</w:t>
      </w:r>
    </w:p>
    <w:p w14:paraId="000000C8">
      <w:pPr>
        <w:spacing w:after="20" w:line="240" w:lineRule="auto"/>
        <w:ind w:left="173"/>
      </w:pPr>
      <w:r>
        <w:rPr>
          <w:rFonts w:ascii="Liberation Mono" w:hAnsi="Liberation Mono" w:eastAsiaTheme="minorEastAsia" w:cstheme="minorBidi"/>
          <w:sz w:val="19"/>
          <w:szCs w:val="19"/>
        </w:rPr>
        <w:t>npm run dev</w:t>
      </w:r>
    </w:p>
    <w:p w14:paraId="000000C9">
      <w:r>
        <w:t>Open http://localhost:5173/ and use the four navigation links. Check the backend at http://127.0.0.1:8000/api/health/. On Windows, create the environment with py -3.12 -m venv backend/.venv. Replace backend/.venv/bin/python and pip with backend\.venv\Scripts\python.exe and backend\.venv\Scripts\pip.exe.</w:t>
      </w:r>
    </w:p>
    <w:p w14:paraId="000000CA">
      <w:pPr>
        <w:pStyle w:val="Heading2"/>
      </w:pPr>
      <w:r>
        <w:t>Before submitting the report</w:t>
      </w:r>
    </w:p>
    <w:p w14:paraId="000000CB">
      <w:pPr>
        <w:pStyle w:val="ListBullet"/>
        <w:spacing w:after="100"/>
      </w:pPr>
      <w:r>
        <w:t>Team Lead Matthew: confirm the technical-decision rationale, ownership, and individual tool usage with the team; maintain the README and review this draft.</w:t>
      </w:r>
    </w:p>
    <w:p w14:paraId="000000CC">
      <w:pPr>
        <w:pStyle w:val="ListBullet"/>
        <w:spacing w:after="100"/>
      </w:pPr>
      <w:r>
        <w:t>Jonathan and the Team Lead: resolve or explicitly report the missing merged screen MR evidence. His implementation is in main, but the closed empty MR !7 does not satisfy a merged MR requirement. Do not recreate work or claim approval that did not occur.</w:t>
      </w:r>
    </w:p>
    <w:p w14:paraId="000000CD">
      <w:pPr>
        <w:pStyle w:val="ListBullet"/>
        <w:spacing w:after="100"/>
      </w:pPr>
      <w:r>
        <w:t>Ankit and Logan: confirm the recorded teammate reviews for their merged screen MRs. Each member should check the current app on their machine and confirm their visible name on the assigned screen.</w:t>
      </w:r>
    </w:p>
    <w:p w14:paraId="000000CE">
      <w:pPr>
        <w:pStyle w:val="ListBullet"/>
        <w:spacing w:after="100"/>
      </w:pPr>
      <w:r>
        <w:t>After team review: update any facts, remove draft confirmation notes, export the final report to PDF, and submit the PDF with the GitLab repository and revised Figma links by October 26 at 11:55 PM. Close the P#9 milestone after submission is complete.</w:t>
      </w:r>
    </w:p>
    <w:p w14:paraId="000000CF">
      <w:pPr>
        <w:pStyle w:val="Heading2"/>
      </w:pPr>
      <w:r>
        <w:t>Reference material</w:t>
      </w:r>
    </w:p>
    <w:p w14:paraId="000000D0">
      <w:hyperlink w:history="1" r:id="rId21">
        <w:r>
          <w:rPr>
            <w:color w:val="174A81"/>
            <w:rStyle w:val="Hyperlink"/>
          </w:rPr>
          <w:t>Course instructions</w:t>
        </w:r>
      </w:hyperlink>
      <w:r>
        <w:t xml:space="preserve">  |  </w:t>
      </w:r>
      <w:hyperlink w:history="1" r:id="rId22">
        <w:r>
          <w:rPr>
            <w:color w:val="174A81"/>
            <w:rStyle w:val="Hyperlink"/>
          </w:rPr>
          <w:t>Project README</w:t>
        </w:r>
      </w:hyperlink>
      <w:r>
        <w:t xml:space="preserve">  |  </w:t>
      </w:r>
      <w:hyperlink w:history="1" r:id="rId23">
        <w:r>
          <w:rPr>
            <w:color w:val="174A81"/>
            <w:rStyle w:val="Hyperlink"/>
          </w:rPr>
          <w:t>P9 tracker</w:t>
        </w:r>
      </w:hyperlink>
    </w:p>
    <w:p w14:paraId="000000D1">
      <w:hyperlink w:history="1" r:id="rId24">
        <w:r>
          <w:rPr>
            <w:color w:val="174A81"/>
            <w:rStyle w:val="Hyperlink"/>
          </w:rPr>
          <w:t>P8 findings</w:t>
        </w:r>
      </w:hyperlink>
      <w:r>
        <w:t xml:space="preserve">  |  </w:t>
      </w:r>
      <w:hyperlink w:history="1" r:id="rId25">
        <w:r>
          <w:rPr>
            <w:color w:val="174A81"/>
            <w:rStyle w:val="Hyperlink"/>
          </w:rPr>
          <w:t>Revised screens PDF</w:t>
        </w:r>
      </w:hyperlink>
      <w:r>
        <w:t xml:space="preserve">  |  </w:t>
      </w:r>
      <w:hyperlink r:id="rId13" w:history="1">
        <w:r>
          <w:rPr>
            <w:u w:val="single"/>
            <w:color w:val="174A81"/>
          </w:rPr>
          <w:t>Figma design</w:t>
        </w:r>
      </w:hyperlink>
    </w:p>
    <w:p w14:paraId="000000D2">
      <w:hyperlink w:history="1" r:id="rId26">
        <w:r>
          <w:rPr>
            <w:color w:val="174A81"/>
            <w:rStyle w:val="Hyperlink"/>
          </w:rPr>
          <w:t>API contract</w:t>
        </w:r>
      </w:hyperlink>
      <w:r>
        <w:t xml:space="preserve">  |  </w:t>
      </w:r>
      <w:hyperlink r:id="rId27" w:history="1">
        <w:r>
          <w:rPr>
            <w:u w:val="single"/>
            <w:color w:val="174A81"/>
          </w:rPr>
          <w:t>Shared component guide</w:t>
        </w:r>
      </w:hyperlink>
      <w:r>
        <w:t xml:space="preserve">  |  </w:t>
      </w:r>
      <w:hyperlink w:history="1" r:id="rId28">
        <w:r>
          <w:rPr>
            <w:color w:val="174A81"/>
            <w:rStyle w:val="Hyperlink"/>
          </w:rPr>
          <w:t>GitHub file mirror</w:t>
        </w:r>
      </w:hyperlink>
    </w:p>
    <w:p w14:paraId="000000D3">
      <w:r>
        <w:t>Source snapshot: main at dfc9438, October 26, 2026. Figures 1 to 5 embed the existing repository screenshots without changing the originals. This draft has not been submitted to the course.</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for team review   |   October 26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CMPS 453   |   Team 08   |   Score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3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lab.com/ull-gitlab/453/fa26/fa26-team-08/music-project" TargetMode="External"/><Relationship Id="rId12" Type="http://schemas.openxmlformats.org/officeDocument/2006/relationships/hyperlink" Target="https://gitlab.com/ull-gitlab/453/fa26/fa26-team-08/music-project/-/milestones/4" TargetMode="External"/><Relationship Id="rId13" Type="http://schemas.openxmlformats.org/officeDocument/2006/relationships/hyperlink" Target="https://www.figma.com/design/NSZliKsVC3CiwrjqQfrOH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hyperlink" Target="https://gitlab.com/ull-gitlab/453/fa26/fa26-team-08/music-project/-/merge_requests/4" TargetMode="External"/><Relationship Id="rId19" Type="http://schemas.openxmlformats.org/officeDocument/2006/relationships/hyperlink" Target="https://gitlab.com/ull-gitlab/453/fa26/fa26-team-08/music-project/-/work_items/25" TargetMode="External"/><Relationship Id="rId20" Type="http://schemas.openxmlformats.org/officeDocument/2006/relationships/image" Target="media/image5.png"/><Relationship Id="rId21" Type="http://schemas.openxmlformats.org/officeDocument/2006/relationships/hyperlink" Target="https://gitlab.com/ull-gitlab/453/fa26/fa26-team-08/music-project/-/blob/main/p9/instruction.md" TargetMode="External"/><Relationship Id="rId22" Type="http://schemas.openxmlformats.org/officeDocument/2006/relationships/hyperlink" Target="https://gitlab.com/ull-gitlab/453/fa26/fa26-team-08/music-project/-/blob/main/README.md" TargetMode="External"/><Relationship Id="rId23" Type="http://schemas.openxmlformats.org/officeDocument/2006/relationships/hyperlink" Target="https://gitlab.com/ull-gitlab/453/fa26/fa26-team-08/music-project/-/blob/main/GITLAB_TRACKER.md" TargetMode="External"/><Relationship Id="rId24" Type="http://schemas.openxmlformats.org/officeDocument/2006/relationships/hyperlink" Target="https://gitlab.com/ull-gitlab/453/fa26/fa26-team-08/music-project/-/blob/main/p8/P8_SYNTHESIS_AND_IMPLEMENTATION.md" TargetMode="External"/><Relationship Id="rId25" Type="http://schemas.openxmlformats.org/officeDocument/2006/relationships/hyperlink" Target="https://gitlab.com/ull-gitlab/453/fa26/fa26-team-08/music-project/-/blob/main/p9/Score_Companion_P8_Revised_Screens.pdf" TargetMode="External"/><Relationship Id="rId26" Type="http://schemas.openxmlformats.org/officeDocument/2006/relationships/hyperlink" Target="https://gitlab.com/ull-gitlab/453/fa26/fa26-team-08/music-project/-/blob/main/API_CONTRACT.md" TargetMode="External"/><Relationship Id="rId27" Type="http://schemas.openxmlformats.org/officeDocument/2006/relationships/hyperlink" Target="https://gitlab.com/ull-gitlab/453/fa26/fa26-team-08/music-project/-/blob/main/frontend/src/components/score-companion/README.md" TargetMode="External"/><Relationship Id="rId28" Type="http://schemas.openxmlformats.org/officeDocument/2006/relationships/hyperlink" Target="https://github.com/theankitjoshi12345/music-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1557</Words>
  <Characters>9151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 Companion Development Setup and First Commit</dc:title>
  <dc:subject>CMPS 453 P9 Team 08 draft report</dc:subject>
  <dc:creator>Team 08</dc:creator>
  <cp:keywords>Score Companion, CMPS 453, P9, draft</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1.46.1</vt:lpwstr>
  </property>
  <property name="SuperdocDocumentOrigin" fmtid="{D5CDD505-2E9C-101B-9397-08002B2CF9AE}" pid="3">
    <vt:lpwstr>unknown</vt:lpwstr>
  </property>
  <property name="DocumentGuid" fmtid="{D5CDD505-2E9C-101B-9397-08002B2CF9AE}" pid="4">
    <vt:lpwstr>4d8d1b18-a181-45f8-ab79-eafd3f830e3e</vt:lpwstr>
  </property>
</Properties>
</file>