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Choix scientifiques et limites</w:t>
      </w:r>
    </w:p>
    <w:p>
      <w:r>
        <w:rPr>
          <w:b/>
          <w:sz w:val="24"/>
        </w:rPr>
        <w:t>Pourquoi le flux canonique sépare contenu, traces humaines et résultats modèle</w:t>
      </w:r>
    </w:p>
    <w:p>
      <w:r>
        <w:rPr>
          <w:i/>
          <w:color w:val="5A5A5A"/>
        </w:rPr>
        <w:t>Type Diátaxis : Explication</w:t>
      </w:r>
    </w:p>
    <w:p/>
    <w:p>
      <w:pPr>
        <w:pStyle w:val="Heading1"/>
      </w:pPr>
      <w:r>
        <w:t>Question de recherche</w:t>
      </w:r>
    </w:p>
    <w:p>
      <w:r>
        <w:t>Le stage étudie la difficulté des questions pour les humains et pour un modèle génératif. Les données Stack Exchange apportent des traces d’activité humaine; une annotation documentée construit ensuite la difficulté humaine, et une évaluation séparée mesure la performance du modèle.</w:t>
      </w:r>
    </w:p>
    <w:p>
      <w:pPr>
        <w:pStyle w:val="Heading1"/>
      </w:pPr>
      <w:r>
        <w:t>Quatre couches de données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</w:tcPr>
          <w:p>
            <w:r>
              <w:rPr>
                <w:b/>
                <w:color w:val="FFFFFF"/>
              </w:rPr>
              <w:t>Couche</w:t>
            </w:r>
          </w:p>
        </w:tc>
        <w:tc>
          <w:tcPr>
            <w:tcW w:type="dxa" w:w="3400"/>
            <w:shd w:fill="1F4E78"/>
            <w:vAlign w:val="center"/>
          </w:tcPr>
          <w:p>
            <w:r>
              <w:rPr>
                <w:b/>
                <w:color w:val="FFFFFF"/>
              </w:rPr>
              <w:t>Exemples</w:t>
            </w:r>
          </w:p>
        </w:tc>
        <w:tc>
          <w:tcPr>
            <w:tcW w:type="dxa" w:w="3400"/>
            <w:shd w:fill="1F4E78"/>
            <w:vAlign w:val="center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rPr>
          <w:cantSplit/>
        </w:trPr>
        <w:tc>
          <w:tcPr>
            <w:tcW w:type="dxa" w:w="3400"/>
            <w:vAlign w:val="top"/>
          </w:tcPr>
          <w:p>
            <w:r>
              <w:t>Provenance</w:t>
            </w:r>
          </w:p>
        </w:tc>
        <w:tc>
          <w:tcPr>
            <w:tcW w:type="dxa" w:w="3400"/>
            <w:vAlign w:val="top"/>
          </w:tcPr>
          <w:p>
            <w:r>
              <w:t>Site, date du dump, URL, licence</w:t>
            </w:r>
          </w:p>
        </w:tc>
        <w:tc>
          <w:tcPr>
            <w:tcW w:type="dxa" w:w="3400"/>
            <w:vAlign w:val="top"/>
          </w:tcPr>
          <w:p>
            <w:r>
              <w:t>Permettre la vérification et la réutilisation.</w:t>
            </w:r>
          </w:p>
        </w:tc>
      </w:tr>
      <w:tr>
        <w:trPr>
          <w:cantSplit/>
        </w:trPr>
        <w:tc>
          <w:tcPr>
            <w:tcW w:type="dxa" w:w="3400"/>
            <w:vAlign w:val="top"/>
          </w:tcPr>
          <w:p>
            <w:r>
              <w:t>Contenu de question au snapshot</w:t>
            </w:r>
          </w:p>
        </w:tc>
        <w:tc>
          <w:tcPr>
            <w:tcW w:type="dxa" w:w="3400"/>
            <w:vAlign w:val="top"/>
          </w:tcPr>
          <w:p>
            <w:r>
              <w:t>Titre, corps, tags, mots, code, liens</w:t>
            </w:r>
          </w:p>
        </w:tc>
        <w:tc>
          <w:tcPr>
            <w:tcW w:type="dxa" w:w="3400"/>
            <w:vAlign w:val="top"/>
          </w:tcPr>
          <w:p>
            <w:r>
              <w:t>Décrire ce que le corpus fournit au moment de l’analyse.</w:t>
            </w:r>
          </w:p>
        </w:tc>
      </w:tr>
      <w:tr>
        <w:trPr>
          <w:cantSplit/>
        </w:trPr>
        <w:tc>
          <w:tcPr>
            <w:tcW w:type="dxa" w:w="3400"/>
            <w:vAlign w:val="top"/>
          </w:tcPr>
          <w:p>
            <w:r>
              <w:t>Traces humaines après publication</w:t>
            </w:r>
          </w:p>
        </w:tc>
        <w:tc>
          <w:tcPr>
            <w:tcW w:type="dxa" w:w="3400"/>
            <w:vAlign w:val="top"/>
          </w:tcPr>
          <w:p>
            <w:r>
              <w:t>Réponses, commentaires, acceptation, fermeture, délais</w:t>
            </w:r>
          </w:p>
        </w:tc>
        <w:tc>
          <w:tcPr>
            <w:tcW w:type="dxa" w:w="3400"/>
            <w:vAlign w:val="top"/>
          </w:tcPr>
          <w:p>
            <w:r>
              <w:t>Décrire la réaction de la communauté.</w:t>
            </w:r>
          </w:p>
        </w:tc>
      </w:tr>
      <w:tr>
        <w:trPr>
          <w:cantSplit/>
        </w:trPr>
        <w:tc>
          <w:tcPr>
            <w:tcW w:type="dxa" w:w="3400"/>
            <w:vAlign w:val="top"/>
          </w:tcPr>
          <w:p>
            <w:r>
              <w:t>Résultat modèle futur</w:t>
            </w:r>
          </w:p>
        </w:tc>
        <w:tc>
          <w:tcPr>
            <w:tcW w:type="dxa" w:w="3400"/>
            <w:vAlign w:val="top"/>
          </w:tcPr>
          <w:p>
            <w:r>
              <w:t>Réponse, score, erreur, besoin de contexte</w:t>
            </w:r>
          </w:p>
        </w:tc>
        <w:tc>
          <w:tcPr>
            <w:tcW w:type="dxa" w:w="3400"/>
            <w:vAlign w:val="top"/>
          </w:tcPr>
          <w:p>
            <w:r>
              <w:t>Mesurer la difficulté pour le système génératif.</w:t>
            </w:r>
          </w:p>
        </w:tc>
      </w:tr>
    </w:tbl>
    <w:p>
      <w:pPr>
        <w:pStyle w:val="Heading1"/>
      </w:pPr>
      <w:r>
        <w:t>Pourquoi une période commune en 2024</w:t>
      </w:r>
    </w:p>
    <w:p>
      <w:pPr>
        <w:pStyle w:val="ListBullet"/>
      </w:pPr>
      <w:r>
        <w:t>Super User et Software Engineering utilisent la même fenêtre du 1er janvier au 31 décembre 2024.</w:t>
      </w:r>
    </w:p>
    <w:p>
      <w:pPr>
        <w:pStyle w:val="ListBullet"/>
      </w:pPr>
      <w:r>
        <w:t>Le dump du 20 avril 2026 offre au minimum environ quinze mois de suivi à chaque question.</w:t>
      </w:r>
    </w:p>
    <w:p>
      <w:pPr>
        <w:pStyle w:val="ListBullet"/>
      </w:pPr>
      <w:r>
        <w:t>La comparaison conserve d’abord les résultats séparés par site, car les communautés et volumes diffèrent.</w:t>
      </w:r>
    </w:p>
    <w:p>
      <w:pPr>
        <w:pStyle w:val="ListBullet"/>
      </w:pPr>
      <w:r>
        <w:t>Une analyse à horizon fixe, par exemple 30 jours, peut être dérivée des dates d’événements pour une comparaison temporelle plus stricte.</w:t>
      </w:r>
    </w:p>
    <w:p>
      <w:pPr>
        <w:pStyle w:val="Heading1"/>
      </w:pPr>
      <w:r>
        <w:t>Précisions corrigées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1F4E78"/>
            <w:vAlign w:val="center"/>
          </w:tcPr>
          <w:p>
            <w:r>
              <w:rPr>
                <w:b/>
                <w:color w:val="FFFFFF"/>
              </w:rPr>
              <w:t>Sujet</w:t>
            </w:r>
          </w:p>
        </w:tc>
        <w:tc>
          <w:tcPr>
            <w:tcW w:type="dxa" w:w="5100"/>
            <w:shd w:fill="1F4E78"/>
            <w:vAlign w:val="center"/>
          </w:tcPr>
          <w:p>
            <w:r>
              <w:rPr>
                <w:b/>
                <w:color w:val="FFFFFF"/>
              </w:rPr>
              <w:t>Interprétation canonique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Texte de question</w:t>
            </w:r>
          </w:p>
        </w:tc>
        <w:tc>
          <w:tcPr>
            <w:tcW w:type="dxa" w:w="5100"/>
            <w:vAlign w:val="top"/>
          </w:tcPr>
          <w:p>
            <w:r>
              <w:t>Posts.xml contient la version rendue au snapshot et peut intégrer des modifications ultérieures. PostHistory.xml permettrait de reconstruire le texte initial.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Nombre de réponses</w:t>
            </w:r>
          </w:p>
        </w:tc>
        <w:tc>
          <w:tcPr>
            <w:tcW w:type="dxa" w:w="5100"/>
            <w:vAlign w:val="top"/>
          </w:tcPr>
          <w:p>
            <w:r>
              <w:t>stackexchange_answer_count conserve le compteur de la question; available_answer_count compte les lignes réellement présentes.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Nombre de commentaires</w:t>
            </w:r>
          </w:p>
        </w:tc>
        <w:tc>
          <w:tcPr>
            <w:tcW w:type="dxa" w:w="5100"/>
            <w:vAlign w:val="top"/>
          </w:tcPr>
          <w:p>
            <w:r>
              <w:t>Le même principe sépare le compteur Stack Exchange et les lignes de commentaires de question disponibles.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Délai de réponse acceptée</w:t>
            </w:r>
          </w:p>
        </w:tc>
        <w:tc>
          <w:tcPr>
            <w:tcW w:type="dxa" w:w="5100"/>
            <w:vAlign w:val="top"/>
          </w:tcPr>
          <w:p>
            <w:r>
              <w:t>time_to_eventually_accepted_answer_post_hours mesure la publication de la réponse finalement acceptée.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Moment de l’acceptation</w:t>
            </w:r>
          </w:p>
        </w:tc>
        <w:tc>
          <w:tcPr>
            <w:tcW w:type="dxa" w:w="5100"/>
            <w:vAlign w:val="top"/>
          </w:tcPr>
          <w:p>
            <w:r>
              <w:t>acceptance_date provient de Votes.xml et possède une précision au jour; days_to_acceptance utilise des jours calendaires.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Scores et vues</w:t>
            </w:r>
          </w:p>
        </w:tc>
        <w:tc>
          <w:tcPr>
            <w:tcW w:type="dxa" w:w="5100"/>
            <w:vAlign w:val="top"/>
          </w:tcPr>
          <w:p>
            <w:r>
              <w:t>Ces valeurs décrivent le snapshot et accumulent l’activité postérieure à la publication.</w:t>
            </w:r>
          </w:p>
        </w:tc>
      </w:tr>
    </w:tbl>
    <w:p>
      <w:pPr>
        <w:pStyle w:val="Heading1"/>
      </w:pPr>
      <w:r>
        <w:t>Interprétation des traces humaines</w:t>
      </w:r>
    </w:p>
    <w:p>
      <w:r>
        <w:t>Une absence de réponse, un long délai, de nombreux commentaires ou une fermeture constituent des signaux à examiner. La lecture qualitative détermine leur cause possible : manque de contexte, ambiguïté, spécialisation, faible visibilité, problème trop large ou autre situation. Le protocole d’annotation associe ensuite des étiquettes selon des critères explicites.</w:t>
      </w:r>
    </w:p>
    <w:p>
      <w:pPr>
        <w:pStyle w:val="Heading1"/>
      </w:pPr>
      <w:r>
        <w:t>Comparaison humain–modèle visée</w:t>
      </w:r>
    </w:p>
    <w:p>
      <w:pPr>
        <w:pStyle w:val="ListNumber"/>
      </w:pPr>
      <w:r>
        <w:t>Définir les critères d’annotation humaine et mesurer l’accord entre annotateurs.</w:t>
      </w:r>
    </w:p>
    <w:p>
      <w:pPr>
        <w:pStyle w:val="ListNumber"/>
      </w:pPr>
      <w:r>
        <w:t>Sélectionner les informations remises au modèle et conserver le prompt exact.</w:t>
      </w:r>
    </w:p>
    <w:p>
      <w:pPr>
        <w:pStyle w:val="ListNumber"/>
      </w:pPr>
      <w:r>
        <w:t>Définir un résultat modèle vérifiable : exactitude, complétude, citation ou jugement expert.</w:t>
      </w:r>
    </w:p>
    <w:p>
      <w:pPr>
        <w:pStyle w:val="ListNumber"/>
      </w:pPr>
      <w:r>
        <w:t>Conserver les résultats humain et modèle comme deux variables séparées.</w:t>
      </w:r>
    </w:p>
    <w:p>
      <w:pPr>
        <w:pStyle w:val="ListNumber"/>
      </w:pPr>
      <w:r>
        <w:t>Présenter quatre groupes : facile pour les deux, difficile pour les deux, difficile pour les humains, difficile pour le modèle.</w:t>
      </w:r>
    </w:p>
    <w:p>
      <w:pPr>
        <w:pStyle w:val="Heading1"/>
      </w:pPr>
      <w:r>
        <w:t>Pourquoi un seul notebook générique</w:t>
      </w:r>
    </w:p>
    <w:p>
      <w:r>
        <w:t>Une seule logique exécutée sur les deux sites évite les divergences silencieuses. Le paramètre DATA_FILE choisit la table. Les figures utilisent des catégories explicites, des axes linéaires lisibles, des événements mensuels cumulatifs et une sélection contrôlée des corrélations.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 Stack Exchange difficulté humain–modèle — Explication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