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48"/>
        </w:rPr>
        <w:t>Project recovery audit</w:t>
      </w:r>
    </w:p>
    <w:p>
      <w:pPr>
        <w:jc w:val="center"/>
      </w:pPr>
      <w:r>
        <w:rPr>
          <w:color w:val="666666"/>
          <w:sz w:val="28"/>
        </w:rPr>
        <w:t>Stack Exchange human–model difficulty internship</w:t>
      </w:r>
    </w:p>
    <w:p>
      <w:pPr>
        <w:jc w:val="center"/>
      </w:pPr>
      <w:r>
        <w:rPr>
          <w:i/>
        </w:rPr>
        <w:t>Audit date: 10 July 2026  •  Workspace: /home/stage/Stage</w:t>
      </w:r>
    </w:p>
    <w:tbl>
      <w:tblPr>
        <w:tblStyle w:val="TableGrid"/>
        <w:tblW w:type="auto" w:w="0"/>
        <w:tblLook w:firstColumn="1" w:firstRow="1" w:lastColumn="0" w:lastRow="0" w:noHBand="0" w:noVBand="1" w:val="04A0"/>
      </w:tblPr>
      <w:tblGrid>
        <w:gridCol w:w="10370"/>
      </w:tblGrid>
      <w:tr>
        <w:trPr>
          <w:tblHeader w:val="true"/>
          <w:cantSplit/>
        </w:trPr>
        <w:tc>
          <w:tcPr>
            <w:tcW w:type="dxa" w:w="10370"/>
            <w:shd w:fill="FFF2CC"/>
          </w:tcPr>
          <w:p>
            <w:pPr>
              <w:spacing w:after="0"/>
            </w:pPr>
            <w:r>
              <w:rPr>
                <w:b/>
              </w:rPr>
              <w:t>Scope: The audit covers the current Super User and Software Engineering dump workflow, its reusable deliverables, and the future human–model study.</w:t>
            </w:r>
            <w:r/>
          </w:p>
        </w:tc>
      </w:tr>
    </w:tbl>
    <w:p>
      <w:pPr>
        <w:spacing w:after="0"/>
      </w:pPr>
    </w:p>
    <w:p>
      <w:pPr>
        <w:pStyle w:val="Heading1"/>
        <w:keepNext/>
      </w:pPr>
      <w:r>
        <w:t>1. Executive diagnosis</w:t>
      </w:r>
    </w:p>
    <w:p>
      <w:r>
        <w:rPr>
          <w:b/>
        </w:rPr>
        <w:t xml:space="preserve">The project contains substantial useful work. </w:t>
      </w:r>
      <w:r>
        <w:t>The main weakness is fragmentation: source data, scripts, notebooks, dictionaries, generated outputs, personal files, automated logs, and old versions share the same workspace. Several saved results were produced by older code, and some characteristic names describe different information from what the code calculates.</w:t>
      </w:r>
    </w:p>
    <w:p>
      <w:pPr>
        <w:pStyle w:val="ListBullet"/>
        <w:spacing w:after="20"/>
      </w:pPr>
      <w:r>
        <w:t>Strong assets: April 2026 Stack Exchange dumps for two sites, working XML thread extractors, prepared characteristic tables, a data dictionary, an executed EDA, and a 14-page QPP/PPP/RAG state-of-the-art report.</w:t>
      </w:r>
    </w:p>
    <w:p>
      <w:pPr>
        <w:pStyle w:val="ListBullet"/>
        <w:spacing w:after="20"/>
      </w:pPr>
      <w:r>
        <w:t>Critical gap: the project has no single canonical directory, no stable characteristic schema, no single generic EDA, and no completed human-versus-model experiment.</w:t>
      </w:r>
    </w:p>
    <w:p>
      <w:pPr>
        <w:pStyle w:val="ListBullet"/>
        <w:spacing w:after="20"/>
      </w:pPr>
      <w:r>
        <w:t>Scientific priority: define human-difficulty evidence and model-difficulty outcomes separately, then compare them on the same questions under a documented time window.</w:t>
      </w:r>
    </w:p>
    <w:p>
      <w:pPr>
        <w:pStyle w:val="ListBullet"/>
        <w:spacing w:after="20"/>
      </w:pPr>
      <w:r>
        <w:t>Delivery priority: preserve a small number of verified outputs and archive the many intermediate versions outside the canonical project.</w:t>
      </w:r>
    </w:p>
    <w:p>
      <w:pPr>
        <w:pStyle w:val="Heading1"/>
        <w:keepNext/>
      </w:pPr>
      <w:r>
        <w:t>2. Current assets to preserve</w:t>
      </w:r>
    </w:p>
    <w:tbl>
      <w:tblPr>
        <w:tblStyle w:val="TableGrid"/>
        <w:tblW w:type="auto" w:w="0"/>
        <w:jc w:val="center"/>
        <w:tblLook w:firstColumn="1" w:firstRow="1" w:lastColumn="0" w:lastRow="0" w:noHBand="0" w:noVBand="1" w:val="04A0"/>
      </w:tblPr>
      <w:tblGrid>
        <w:gridCol w:w="3457"/>
        <w:gridCol w:w="3457"/>
        <w:gridCol w:w="3457"/>
      </w:tblGrid>
      <w:tr>
        <w:trPr>
          <w:tblHeader w:val="true"/>
          <w:cantSplit/>
        </w:trPr>
        <w:tc>
          <w:tcPr>
            <w:tcW w:type="dxa" w:w="1701"/>
            <w:vAlign w:val="center"/>
            <w:shd w:fill="1F4E78"/>
          </w:tcPr>
          <w:p>
            <w:pPr>
              <w:spacing w:after="0"/>
            </w:pPr>
            <w:r/>
            <w:r>
              <w:rPr>
                <w:b/>
                <w:color w:val="FFFFFF"/>
                <w:sz w:val="17"/>
              </w:rPr>
              <w:t>Asset</w:t>
            </w:r>
          </w:p>
        </w:tc>
        <w:tc>
          <w:tcPr>
            <w:tcW w:type="dxa" w:w="4139"/>
            <w:vAlign w:val="center"/>
            <w:shd w:fill="1F4E78"/>
          </w:tcPr>
          <w:p>
            <w:pPr>
              <w:spacing w:after="0"/>
            </w:pPr>
            <w:r/>
            <w:r>
              <w:rPr>
                <w:b/>
                <w:color w:val="FFFFFF"/>
                <w:sz w:val="17"/>
              </w:rPr>
              <w:t>Current location</w:t>
            </w:r>
          </w:p>
        </w:tc>
        <w:tc>
          <w:tcPr>
            <w:tcW w:type="dxa" w:w="3402"/>
            <w:vAlign w:val="center"/>
            <w:shd w:fill="1F4E78"/>
          </w:tcPr>
          <w:p>
            <w:pPr>
              <w:spacing w:after="0"/>
            </w:pPr>
            <w:r/>
            <w:r>
              <w:rPr>
                <w:b/>
                <w:color w:val="FFFFFF"/>
                <w:sz w:val="17"/>
              </w:rPr>
              <w:t>Decision</w:t>
            </w:r>
          </w:p>
        </w:tc>
      </w:tr>
      <w:tr>
        <w:trPr>
          <w:cantSplit/>
        </w:trPr>
        <w:tc>
          <w:tcPr>
            <w:tcW w:type="dxa" w:w="1701"/>
            <w:vAlign w:val="center"/>
            <w:shd w:fill="F7FAFC"/>
          </w:tcPr>
          <w:p>
            <w:pPr>
              <w:spacing w:after="0"/>
            </w:pPr>
            <w:r/>
            <w:r>
              <w:rPr>
                <w:b w:val="0"/>
                <w:sz w:val="16"/>
              </w:rPr>
              <w:t>Raw Stack Exchange dumps</w:t>
            </w:r>
          </w:p>
        </w:tc>
        <w:tc>
          <w:tcPr>
            <w:tcW w:type="dxa" w:w="4139"/>
            <w:vAlign w:val="center"/>
            <w:shd w:fill="F7FAFC"/>
          </w:tcPr>
          <w:p>
            <w:pPr>
              <w:spacing w:after="0"/>
            </w:pPr>
            <w:r/>
            <w:r>
              <w:rPr>
                <w:b w:val="0"/>
                <w:sz w:val="16"/>
              </w:rPr>
              <w:t>Dumps/superuser.com and Dumps/softwareengineering.stackexchange.com</w:t>
            </w:r>
          </w:p>
        </w:tc>
        <w:tc>
          <w:tcPr>
            <w:tcW w:type="dxa" w:w="3402"/>
            <w:vAlign w:val="center"/>
            <w:shd w:fill="F7FAFC"/>
          </w:tcPr>
          <w:p>
            <w:pPr>
              <w:spacing w:after="0"/>
            </w:pPr>
            <w:r/>
            <w:r>
              <w:rPr>
                <w:b w:val="0"/>
                <w:sz w:val="16"/>
              </w:rPr>
              <w:t>Preserve with licences and snapshot date (20 April 2026).</w:t>
            </w:r>
          </w:p>
        </w:tc>
      </w:tr>
      <w:tr>
        <w:trPr>
          <w:cantSplit/>
        </w:trPr>
        <w:tc>
          <w:tcPr>
            <w:tcW w:type="dxa" w:w="1701"/>
            <w:vAlign w:val="center"/>
          </w:tcPr>
          <w:p>
            <w:pPr>
              <w:spacing w:after="0"/>
            </w:pPr>
            <w:r/>
            <w:r>
              <w:rPr>
                <w:b w:val="0"/>
                <w:sz w:val="16"/>
              </w:rPr>
              <w:t>Complete-thread XML extractor</w:t>
            </w:r>
          </w:p>
        </w:tc>
        <w:tc>
          <w:tcPr>
            <w:tcW w:type="dxa" w:w="4139"/>
            <w:vAlign w:val="center"/>
          </w:tcPr>
          <w:p>
            <w:pPr>
              <w:spacing w:after="0"/>
            </w:pPr>
            <w:r/>
            <w:r>
              <w:rPr>
                <w:b w:val="0"/>
                <w:sz w:val="16"/>
              </w:rPr>
              <w:t>Dumps/characteristic_extraction.py</w:t>
            </w:r>
          </w:p>
        </w:tc>
        <w:tc>
          <w:tcPr>
            <w:tcW w:type="dxa" w:w="3402"/>
            <w:vAlign w:val="center"/>
          </w:tcPr>
          <w:p>
            <w:pPr>
              <w:spacing w:after="0"/>
            </w:pPr>
            <w:r/>
            <w:r>
              <w:rPr>
                <w:b w:val="0"/>
                <w:sz w:val="16"/>
              </w:rPr>
              <w:t>Keep behavior; rename for its real purpose and correct validation inconsistency.</w:t>
            </w:r>
          </w:p>
        </w:tc>
      </w:tr>
      <w:tr>
        <w:trPr>
          <w:cantSplit/>
        </w:trPr>
        <w:tc>
          <w:tcPr>
            <w:tcW w:type="dxa" w:w="1701"/>
            <w:vAlign w:val="center"/>
            <w:shd w:fill="F7FAFC"/>
          </w:tcPr>
          <w:p>
            <w:pPr>
              <w:spacing w:after="0"/>
            </w:pPr>
            <w:r/>
            <w:r>
              <w:rPr>
                <w:b w:val="0"/>
                <w:sz w:val="16"/>
              </w:rPr>
              <w:t>Twelve-field request extractor</w:t>
            </w:r>
          </w:p>
        </w:tc>
        <w:tc>
          <w:tcPr>
            <w:tcW w:type="dxa" w:w="4139"/>
            <w:vAlign w:val="center"/>
            <w:shd w:fill="F7FAFC"/>
          </w:tcPr>
          <w:p>
            <w:pPr>
              <w:spacing w:after="0"/>
            </w:pPr>
            <w:r/>
            <w:r>
              <w:rPr>
                <w:b w:val="0"/>
                <w:sz w:val="16"/>
              </w:rPr>
              <w:t>Dumps/request_extract.py</w:t>
            </w:r>
          </w:p>
        </w:tc>
        <w:tc>
          <w:tcPr>
            <w:tcW w:type="dxa" w:w="3402"/>
            <w:vAlign w:val="center"/>
            <w:shd w:fill="F7FAFC"/>
          </w:tcPr>
          <w:p>
            <w:pPr>
              <w:spacing w:after="0"/>
            </w:pPr>
            <w:r/>
            <w:r>
              <w:rPr>
                <w:b w:val="0"/>
                <w:sz w:val="16"/>
              </w:rPr>
              <w:t>Keep behavior; rename clearly and retain the two example XML files.</w:t>
            </w:r>
          </w:p>
        </w:tc>
      </w:tr>
      <w:tr>
        <w:trPr>
          <w:cantSplit/>
        </w:trPr>
        <w:tc>
          <w:tcPr>
            <w:tcW w:type="dxa" w:w="1701"/>
            <w:vAlign w:val="center"/>
          </w:tcPr>
          <w:p>
            <w:pPr>
              <w:spacing w:after="0"/>
            </w:pPr>
            <w:r/>
            <w:r>
              <w:rPr>
                <w:b w:val="0"/>
                <w:sz w:val="16"/>
              </w:rPr>
              <w:t>Characteristic extraction</w:t>
            </w:r>
          </w:p>
        </w:tc>
        <w:tc>
          <w:tcPr>
            <w:tcW w:type="dxa" w:w="4139"/>
            <w:vAlign w:val="center"/>
          </w:tcPr>
          <w:p>
            <w:pPr>
              <w:spacing w:after="0"/>
            </w:pPr>
            <w:r/>
            <w:r>
              <w:rPr>
                <w:b w:val="0"/>
                <w:sz w:val="16"/>
              </w:rPr>
              <w:t>Dumps/full_dump_pipeline.py</w:t>
            </w:r>
          </w:p>
        </w:tc>
        <w:tc>
          <w:tcPr>
            <w:tcW w:type="dxa" w:w="3402"/>
            <w:vAlign w:val="center"/>
          </w:tcPr>
          <w:p>
            <w:pPr>
              <w:spacing w:after="0"/>
            </w:pPr>
            <w:r/>
            <w:r>
              <w:rPr>
                <w:b w:val="0"/>
                <w:sz w:val="16"/>
              </w:rPr>
              <w:t>Rewrite around a smaller, verified characteristic schema.</w:t>
            </w:r>
          </w:p>
        </w:tc>
      </w:tr>
      <w:tr>
        <w:trPr>
          <w:cantSplit/>
        </w:trPr>
        <w:tc>
          <w:tcPr>
            <w:tcW w:type="dxa" w:w="1701"/>
            <w:vAlign w:val="center"/>
            <w:shd w:fill="F7FAFC"/>
          </w:tcPr>
          <w:p>
            <w:pPr>
              <w:spacing w:after="0"/>
            </w:pPr>
            <w:r/>
            <w:r>
              <w:rPr>
                <w:b w:val="0"/>
                <w:sz w:val="16"/>
              </w:rPr>
              <w:t>Data dictionary</w:t>
            </w:r>
          </w:p>
        </w:tc>
        <w:tc>
          <w:tcPr>
            <w:tcW w:type="dxa" w:w="4139"/>
            <w:vAlign w:val="center"/>
            <w:shd w:fill="F7FAFC"/>
          </w:tcPr>
          <w:p>
            <w:pPr>
              <w:spacing w:after="0"/>
            </w:pPr>
            <w:r/>
            <w:r>
              <w:rPr>
                <w:b w:val="0"/>
                <w:sz w:val="16"/>
              </w:rPr>
              <w:t>Google Sheet plus several local Excel versions</w:t>
            </w:r>
          </w:p>
        </w:tc>
        <w:tc>
          <w:tcPr>
            <w:tcW w:type="dxa" w:w="3402"/>
            <w:vAlign w:val="center"/>
            <w:shd w:fill="F7FAFC"/>
          </w:tcPr>
          <w:p>
            <w:pPr>
              <w:spacing w:after="0"/>
            </w:pPr>
            <w:r/>
            <w:r>
              <w:rPr>
                <w:b w:val="0"/>
                <w:sz w:val="16"/>
              </w:rPr>
              <w:t>Choose one source of truth and export one local reference copy.</w:t>
            </w:r>
          </w:p>
        </w:tc>
      </w:tr>
      <w:tr>
        <w:trPr>
          <w:cantSplit/>
        </w:trPr>
        <w:tc>
          <w:tcPr>
            <w:tcW w:type="dxa" w:w="1701"/>
            <w:vAlign w:val="center"/>
          </w:tcPr>
          <w:p>
            <w:pPr>
              <w:spacing w:after="0"/>
            </w:pPr>
            <w:r/>
            <w:r>
              <w:rPr>
                <w:b w:val="0"/>
                <w:sz w:val="16"/>
              </w:rPr>
              <w:t>EDA</w:t>
            </w:r>
          </w:p>
        </w:tc>
        <w:tc>
          <w:tcPr>
            <w:tcW w:type="dxa" w:w="4139"/>
            <w:vAlign w:val="center"/>
          </w:tcPr>
          <w:p>
            <w:pPr>
              <w:spacing w:after="0"/>
            </w:pPr>
            <w:r/>
            <w:r>
              <w:rPr>
                <w:b w:val="0"/>
                <w:sz w:val="16"/>
              </w:rPr>
              <w:t>Two duplicated active notebooks plus stale variants</w:t>
            </w:r>
          </w:p>
        </w:tc>
        <w:tc>
          <w:tcPr>
            <w:tcW w:type="dxa" w:w="3402"/>
            <w:vAlign w:val="center"/>
          </w:tcPr>
          <w:p>
            <w:pPr>
              <w:spacing w:after="0"/>
            </w:pPr>
            <w:r/>
            <w:r>
              <w:rPr>
                <w:b w:val="0"/>
                <w:sz w:val="16"/>
              </w:rPr>
              <w:t>Replace with one generic notebook that loads a selected TSV.</w:t>
            </w:r>
          </w:p>
        </w:tc>
      </w:tr>
      <w:tr>
        <w:trPr>
          <w:cantSplit/>
        </w:trPr>
        <w:tc>
          <w:tcPr>
            <w:tcW w:type="dxa" w:w="1701"/>
            <w:vAlign w:val="center"/>
            <w:shd w:fill="F7FAFC"/>
          </w:tcPr>
          <w:p>
            <w:pPr>
              <w:spacing w:after="0"/>
            </w:pPr>
            <w:r/>
            <w:r>
              <w:rPr>
                <w:b w:val="0"/>
                <w:sz w:val="16"/>
              </w:rPr>
              <w:t>State of the art</w:t>
            </w:r>
          </w:p>
        </w:tc>
        <w:tc>
          <w:tcPr>
            <w:tcW w:type="dxa" w:w="4139"/>
            <w:vAlign w:val="center"/>
            <w:shd w:fill="F7FAFC"/>
          </w:tcPr>
          <w:p>
            <w:pPr>
              <w:spacing w:after="0"/>
            </w:pPr>
            <w:r/>
            <w:r>
              <w:rPr>
                <w:b w:val="0"/>
                <w:sz w:val="16"/>
              </w:rPr>
              <w:t>reports/sota-performance-prediction-retrieval-generative-ai.pdf</w:t>
            </w:r>
          </w:p>
        </w:tc>
        <w:tc>
          <w:tcPr>
            <w:tcW w:type="dxa" w:w="3402"/>
            <w:vAlign w:val="center"/>
            <w:shd w:fill="F7FAFC"/>
          </w:tcPr>
          <w:p>
            <w:pPr>
              <w:spacing w:after="0"/>
            </w:pPr>
            <w:r/>
            <w:r>
              <w:rPr>
                <w:b w:val="0"/>
                <w:sz w:val="16"/>
              </w:rPr>
              <w:t>Keep one PDF, its LaTeX source, and the bibliography.</w:t>
            </w:r>
          </w:p>
        </w:tc>
      </w:tr>
      <w:tr>
        <w:trPr>
          <w:cantSplit/>
        </w:trPr>
        <w:tc>
          <w:tcPr>
            <w:tcW w:type="dxa" w:w="1701"/>
            <w:vAlign w:val="center"/>
          </w:tcPr>
          <w:p>
            <w:pPr>
              <w:spacing w:after="0"/>
            </w:pPr>
            <w:r/>
            <w:r>
              <w:rPr>
                <w:b w:val="0"/>
                <w:sz w:val="16"/>
              </w:rPr>
              <w:t>Supervisor XML examples</w:t>
            </w:r>
          </w:p>
        </w:tc>
        <w:tc>
          <w:tcPr>
            <w:tcW w:type="dxa" w:w="4139"/>
            <w:vAlign w:val="center"/>
          </w:tcPr>
          <w:p>
            <w:pPr>
              <w:spacing w:after="0"/>
            </w:pPr>
            <w:r/>
            <w:r>
              <w:rPr>
                <w:b w:val="0"/>
                <w:sz w:val="16"/>
              </w:rPr>
              <w:t>Dumps/thread.xml and *_request_extract.xml</w:t>
            </w:r>
          </w:p>
        </w:tc>
        <w:tc>
          <w:tcPr>
            <w:tcW w:type="dxa" w:w="3402"/>
            <w:vAlign w:val="center"/>
          </w:tcPr>
          <w:p>
            <w:pPr>
              <w:spacing w:after="0"/>
            </w:pPr>
            <w:r/>
            <w:r>
              <w:rPr>
                <w:b w:val="0"/>
                <w:sz w:val="16"/>
              </w:rPr>
              <w:t>Keep as small practical examples.</w:t>
            </w:r>
          </w:p>
        </w:tc>
      </w:tr>
    </w:tbl>
    <w:p>
      <w:pPr>
        <w:spacing w:after="0"/>
      </w:pPr>
    </w:p>
    <w:p>
      <w:pPr>
        <w:pStyle w:val="Heading1"/>
        <w:keepNext/>
        <w:pageBreakBefore w:val="0"/>
      </w:pPr>
      <w:r>
        <w:t>3. Confirmed correctness and consistency problems</w:t>
      </w:r>
    </w:p>
    <w:tbl>
      <w:tblPr>
        <w:tblStyle w:val="TableGrid"/>
        <w:tblW w:type="auto" w:w="0"/>
        <w:jc w:val="center"/>
        <w:tblLook w:firstColumn="1" w:firstRow="1" w:lastColumn="0" w:lastRow="0" w:noHBand="0" w:noVBand="1" w:val="04A0"/>
      </w:tblPr>
      <w:tblGrid>
        <w:gridCol w:w="3457"/>
        <w:gridCol w:w="3457"/>
        <w:gridCol w:w="3457"/>
      </w:tblGrid>
      <w:tr>
        <w:trPr>
          <w:tblHeader w:val="true"/>
          <w:cantSplit/>
        </w:trPr>
        <w:tc>
          <w:tcPr>
            <w:tcW w:type="dxa" w:w="964"/>
            <w:vAlign w:val="center"/>
            <w:shd w:fill="1F4E78"/>
          </w:tcPr>
          <w:p>
            <w:pPr>
              <w:spacing w:after="0"/>
            </w:pPr>
            <w:r/>
            <w:r>
              <w:rPr>
                <w:b/>
                <w:color w:val="FFFFFF"/>
                <w:sz w:val="17"/>
              </w:rPr>
              <w:t>Severity</w:t>
            </w:r>
          </w:p>
        </w:tc>
        <w:tc>
          <w:tcPr>
            <w:tcW w:type="dxa" w:w="4365"/>
            <w:vAlign w:val="center"/>
            <w:shd w:fill="1F4E78"/>
          </w:tcPr>
          <w:p>
            <w:pPr>
              <w:spacing w:after="0"/>
            </w:pPr>
            <w:r/>
            <w:r>
              <w:rPr>
                <w:b/>
                <w:color w:val="FFFFFF"/>
                <w:sz w:val="17"/>
              </w:rPr>
              <w:t>Finding</w:t>
            </w:r>
          </w:p>
        </w:tc>
        <w:tc>
          <w:tcPr>
            <w:tcW w:type="dxa" w:w="3912"/>
            <w:vAlign w:val="center"/>
            <w:shd w:fill="1F4E78"/>
          </w:tcPr>
          <w:p>
            <w:pPr>
              <w:spacing w:after="0"/>
            </w:pPr>
            <w:r/>
            <w:r>
              <w:rPr>
                <w:b/>
                <w:color w:val="FFFFFF"/>
                <w:sz w:val="17"/>
              </w:rPr>
              <w:t>Required correction</w:t>
            </w:r>
          </w:p>
        </w:tc>
      </w:tr>
      <w:tr>
        <w:trPr>
          <w:cantSplit/>
        </w:trPr>
        <w:tc>
          <w:tcPr>
            <w:tcW w:type="dxa" w:w="964"/>
            <w:vAlign w:val="center"/>
            <w:shd w:fill="F7FAFC"/>
          </w:tcPr>
          <w:p>
            <w:pPr>
              <w:spacing w:after="0"/>
            </w:pPr>
            <w:r/>
            <w:r>
              <w:rPr>
                <w:b w:val="0"/>
                <w:sz w:val="16"/>
              </w:rPr>
              <w:t>Critical</w:t>
            </w:r>
          </w:p>
        </w:tc>
        <w:tc>
          <w:tcPr>
            <w:tcW w:type="dxa" w:w="4365"/>
            <w:vAlign w:val="center"/>
            <w:shd w:fill="F7FAFC"/>
          </w:tcPr>
          <w:p>
            <w:pPr>
              <w:spacing w:after="0"/>
            </w:pPr>
            <w:r/>
            <w:r>
              <w:rPr>
                <w:b w:val="0"/>
                <w:sz w:val="16"/>
              </w:rPr>
              <w:t>answer_body_html contains the accepted answer, while answer_body_text contains the first answer. The columns describe different answers in 689 accepted Super User threads from 2023.</w:t>
            </w:r>
          </w:p>
        </w:tc>
        <w:tc>
          <w:tcPr>
            <w:tcW w:type="dxa" w:w="3912"/>
            <w:vAlign w:val="center"/>
            <w:shd w:fill="F7FAFC"/>
          </w:tcPr>
          <w:p>
            <w:pPr>
              <w:spacing w:after="0"/>
            </w:pPr>
            <w:r/>
            <w:r>
              <w:rPr>
                <w:b w:val="0"/>
                <w:sz w:val="16"/>
              </w:rPr>
              <w:t>Use explicit first_answer_* and accepted_answer_* names, or remove answer bodies from the characteristic table and use the thread XML.</w:t>
            </w:r>
          </w:p>
        </w:tc>
      </w:tr>
      <w:tr>
        <w:trPr>
          <w:cantSplit/>
        </w:trPr>
        <w:tc>
          <w:tcPr>
            <w:tcW w:type="dxa" w:w="964"/>
            <w:vAlign w:val="center"/>
          </w:tcPr>
          <w:p>
            <w:pPr>
              <w:spacing w:after="0"/>
            </w:pPr>
            <w:r/>
            <w:r>
              <w:rPr>
                <w:b w:val="0"/>
                <w:sz w:val="16"/>
              </w:rPr>
              <w:t>Critical</w:t>
            </w:r>
          </w:p>
        </w:tc>
        <w:tc>
          <w:tcPr>
            <w:tcW w:type="dxa" w:w="4365"/>
            <w:vAlign w:val="center"/>
          </w:tcPr>
          <w:p>
            <w:pPr>
              <w:spacing w:after="0"/>
            </w:pPr>
            <w:r/>
            <w:r>
              <w:rPr>
                <w:b w:val="0"/>
                <w:sz w:val="16"/>
              </w:rPr>
              <w:t>time_to_accepted_answer_hours measures the posting delay of the answer that was eventually accepted. It does not measure the acceptance event time.</w:t>
            </w:r>
          </w:p>
        </w:tc>
        <w:tc>
          <w:tcPr>
            <w:tcW w:type="dxa" w:w="3912"/>
            <w:vAlign w:val="center"/>
          </w:tcPr>
          <w:p>
            <w:pPr>
              <w:spacing w:after="0"/>
            </w:pPr>
            <w:r/>
            <w:r>
              <w:rPr>
                <w:b w:val="0"/>
                <w:sz w:val="16"/>
              </w:rPr>
              <w:t>Rename the existing measure. Read VoteTypeId=1 from Votes.xml for the acceptance date and report day-level precision.</w:t>
            </w:r>
          </w:p>
        </w:tc>
      </w:tr>
      <w:tr>
        <w:trPr>
          <w:cantSplit/>
        </w:trPr>
        <w:tc>
          <w:tcPr>
            <w:tcW w:type="dxa" w:w="964"/>
            <w:vAlign w:val="center"/>
            <w:shd w:fill="F7FAFC"/>
          </w:tcPr>
          <w:p>
            <w:pPr>
              <w:spacing w:after="0"/>
            </w:pPr>
            <w:r/>
            <w:r>
              <w:rPr>
                <w:b w:val="0"/>
                <w:sz w:val="16"/>
              </w:rPr>
              <w:t>Critical</w:t>
            </w:r>
          </w:p>
        </w:tc>
        <w:tc>
          <w:tcPr>
            <w:tcW w:type="dxa" w:w="4365"/>
            <w:vAlign w:val="center"/>
            <w:shd w:fill="F7FAFC"/>
          </w:tcPr>
          <w:p>
            <w:pPr>
              <w:spacing w:after="0"/>
            </w:pPr>
            <w:r/>
            <w:r>
              <w:rPr>
                <w:b w:val="0"/>
                <w:sz w:val="16"/>
              </w:rPr>
              <w:t>has_answer uses available answer rows, while the dictionary formula and EDA answer count use Posts.AnswerCount. Eleven Super User 2023 questions show a real disagreement.</w:t>
            </w:r>
          </w:p>
        </w:tc>
        <w:tc>
          <w:tcPr>
            <w:tcW w:type="dxa" w:w="3912"/>
            <w:vAlign w:val="center"/>
            <w:shd w:fill="F7FAFC"/>
          </w:tcPr>
          <w:p>
            <w:pPr>
              <w:spacing w:after="0"/>
            </w:pPr>
            <w:r/>
            <w:r>
              <w:rPr>
                <w:b w:val="0"/>
                <w:sz w:val="16"/>
              </w:rPr>
              <w:t>Store source_answer_count and available_answer_count separately. Define every outcome from one documented field.</w:t>
            </w:r>
          </w:p>
        </w:tc>
      </w:tr>
      <w:tr>
        <w:trPr>
          <w:cantSplit/>
        </w:trPr>
        <w:tc>
          <w:tcPr>
            <w:tcW w:type="dxa" w:w="964"/>
            <w:vAlign w:val="center"/>
          </w:tcPr>
          <w:p>
            <w:pPr>
              <w:spacing w:after="0"/>
            </w:pPr>
            <w:r/>
            <w:r>
              <w:rPr>
                <w:b w:val="0"/>
                <w:sz w:val="16"/>
              </w:rPr>
              <w:t>Critical</w:t>
            </w:r>
          </w:p>
        </w:tc>
        <w:tc>
          <w:tcPr>
            <w:tcW w:type="dxa" w:w="4365"/>
            <w:vAlign w:val="center"/>
          </w:tcPr>
          <w:p>
            <w:pPr>
              <w:spacing w:after="0"/>
            </w:pPr>
            <w:r/>
            <w:r>
              <w:rPr>
                <w:b w:val="0"/>
                <w:sz w:val="16"/>
              </w:rPr>
              <w:t>The implemented readability score includes code text, excludes the title, and averages formulas differently from the dictionary description.</w:t>
            </w:r>
          </w:p>
        </w:tc>
        <w:tc>
          <w:tcPr>
            <w:tcW w:type="dxa" w:w="3912"/>
            <w:vAlign w:val="center"/>
          </w:tcPr>
          <w:p>
            <w:pPr>
              <w:spacing w:after="0"/>
            </w:pPr>
            <w:r/>
            <w:r>
              <w:rPr>
                <w:b w:val="0"/>
                <w:sz w:val="16"/>
              </w:rPr>
              <w:t>Remove the characteristic until a single validated method is specified, or implement and document one exact method.</w:t>
            </w:r>
          </w:p>
        </w:tc>
      </w:tr>
      <w:tr>
        <w:trPr>
          <w:cantSplit/>
        </w:trPr>
        <w:tc>
          <w:tcPr>
            <w:tcW w:type="dxa" w:w="964"/>
            <w:vAlign w:val="center"/>
            <w:shd w:fill="F7FAFC"/>
          </w:tcPr>
          <w:p>
            <w:pPr>
              <w:spacing w:after="0"/>
            </w:pPr>
            <w:r/>
            <w:r>
              <w:rPr>
                <w:b w:val="0"/>
                <w:sz w:val="16"/>
              </w:rPr>
              <w:t>High</w:t>
            </w:r>
          </w:p>
        </w:tc>
        <w:tc>
          <w:tcPr>
            <w:tcW w:type="dxa" w:w="4365"/>
            <w:vAlign w:val="center"/>
            <w:shd w:fill="F7FAFC"/>
          </w:tcPr>
          <w:p>
            <w:pPr>
              <w:spacing w:after="0"/>
            </w:pPr>
            <w:r/>
            <w:r>
              <w:rPr>
                <w:b w:val="0"/>
                <w:sz w:val="16"/>
              </w:rPr>
              <w:t>Saved runs have three different schemas (49, 52, and 58 columns). Their metadata was generated by an older code version.</w:t>
            </w:r>
          </w:p>
        </w:tc>
        <w:tc>
          <w:tcPr>
            <w:tcW w:type="dxa" w:w="3912"/>
            <w:vAlign w:val="center"/>
            <w:shd w:fill="F7FAFC"/>
          </w:tcPr>
          <w:p>
            <w:pPr>
              <w:spacing w:after="0"/>
            </w:pPr>
            <w:r/>
            <w:r>
              <w:rPr>
                <w:b w:val="0"/>
                <w:sz w:val="16"/>
              </w:rPr>
              <w:t>Introduce a schema version and regenerate only the canonical runs after the pipeline is corrected.</w:t>
            </w:r>
          </w:p>
        </w:tc>
      </w:tr>
      <w:tr>
        <w:trPr>
          <w:cantSplit/>
        </w:trPr>
        <w:tc>
          <w:tcPr>
            <w:tcW w:type="dxa" w:w="964"/>
            <w:vAlign w:val="center"/>
          </w:tcPr>
          <w:p>
            <w:pPr>
              <w:spacing w:after="0"/>
            </w:pPr>
            <w:r/>
            <w:r>
              <w:rPr>
                <w:b w:val="0"/>
                <w:sz w:val="16"/>
              </w:rPr>
              <w:t>High</w:t>
            </w:r>
          </w:p>
        </w:tc>
        <w:tc>
          <w:tcPr>
            <w:tcW w:type="dxa" w:w="4365"/>
            <w:vAlign w:val="center"/>
          </w:tcPr>
          <w:p>
            <w:pPr>
              <w:spacing w:after="0"/>
            </w:pPr>
            <w:r/>
            <w:r>
              <w:rPr>
                <w:b w:val="0"/>
                <w:sz w:val="16"/>
              </w:rPr>
              <w:t>The active pipeline reads an outdated Excel workbook only to order output columns. The latest local workbook uses different sheet names.</w:t>
            </w:r>
          </w:p>
        </w:tc>
        <w:tc>
          <w:tcPr>
            <w:tcW w:type="dxa" w:w="3912"/>
            <w:vAlign w:val="center"/>
          </w:tcPr>
          <w:p>
            <w:pPr>
              <w:spacing w:after="0"/>
            </w:pPr>
            <w:r/>
            <w:r>
              <w:rPr>
                <w:b w:val="0"/>
                <w:sz w:val="16"/>
              </w:rPr>
              <w:t>Use a small versioned schema file; treat Excel/Google Sheets as human reference exports.</w:t>
            </w:r>
          </w:p>
        </w:tc>
      </w:tr>
      <w:tr>
        <w:trPr>
          <w:cantSplit/>
        </w:trPr>
        <w:tc>
          <w:tcPr>
            <w:tcW w:type="dxa" w:w="964"/>
            <w:vAlign w:val="center"/>
            <w:shd w:fill="F7FAFC"/>
          </w:tcPr>
          <w:p>
            <w:pPr>
              <w:spacing w:after="0"/>
            </w:pPr>
            <w:r/>
            <w:r>
              <w:rPr>
                <w:b w:val="0"/>
                <w:sz w:val="16"/>
              </w:rPr>
              <w:t>High</w:t>
            </w:r>
          </w:p>
        </w:tc>
        <w:tc>
          <w:tcPr>
            <w:tcW w:type="dxa" w:w="4365"/>
            <w:vAlign w:val="center"/>
            <w:shd w:fill="F7FAFC"/>
          </w:tcPr>
          <w:p>
            <w:pPr>
              <w:spacing w:after="0"/>
            </w:pPr>
            <w:r/>
            <w:r>
              <w:rPr>
                <w:b w:val="0"/>
                <w:sz w:val="16"/>
              </w:rPr>
              <w:t>The complete-thread extractor accepts an invalid question CreationDate while the request extractor rejects it.</w:t>
            </w:r>
          </w:p>
        </w:tc>
        <w:tc>
          <w:tcPr>
            <w:tcW w:type="dxa" w:w="3912"/>
            <w:vAlign w:val="center"/>
            <w:shd w:fill="F7FAFC"/>
          </w:tcPr>
          <w:p>
            <w:pPr>
              <w:spacing w:after="0"/>
            </w:pPr>
            <w:r/>
            <w:r>
              <w:rPr>
                <w:b w:val="0"/>
                <w:sz w:val="16"/>
              </w:rPr>
              <w:t>Apply the same source-row validation rule in both extractors.</w:t>
            </w:r>
          </w:p>
        </w:tc>
      </w:tr>
      <w:tr>
        <w:trPr>
          <w:cantSplit/>
        </w:trPr>
        <w:tc>
          <w:tcPr>
            <w:tcW w:type="dxa" w:w="964"/>
            <w:vAlign w:val="center"/>
          </w:tcPr>
          <w:p>
            <w:pPr>
              <w:spacing w:after="0"/>
            </w:pPr>
            <w:r/>
            <w:r>
              <w:rPr>
                <w:b w:val="0"/>
                <w:sz w:val="16"/>
              </w:rPr>
              <w:t>High</w:t>
            </w:r>
          </w:p>
        </w:tc>
        <w:tc>
          <w:tcPr>
            <w:tcW w:type="dxa" w:w="4365"/>
            <w:vAlign w:val="center"/>
          </w:tcPr>
          <w:p>
            <w:pPr>
              <w:spacing w:after="0"/>
            </w:pPr>
            <w:r/>
            <w:r>
              <w:rPr>
                <w:b w:val="0"/>
                <w:sz w:val="16"/>
              </w:rPr>
              <w:t>The EDA hides 10–20% of values for several histograms through hard-coded percentile ranges.</w:t>
            </w:r>
          </w:p>
        </w:tc>
        <w:tc>
          <w:tcPr>
            <w:tcW w:type="dxa" w:w="3912"/>
            <w:vAlign w:val="center"/>
          </w:tcPr>
          <w:p>
            <w:pPr>
              <w:spacing w:after="0"/>
            </w:pPr>
            <w:r/>
            <w:r>
              <w:rPr>
                <w:b w:val="0"/>
                <w:sz w:val="16"/>
              </w:rPr>
              <w:t>Use complete, human-readable categories or explicit overflow bins so every observation remains represented.</w:t>
            </w:r>
          </w:p>
        </w:tc>
      </w:tr>
      <w:tr>
        <w:trPr>
          <w:cantSplit/>
        </w:trPr>
        <w:tc>
          <w:tcPr>
            <w:tcW w:type="dxa" w:w="964"/>
            <w:vAlign w:val="center"/>
            <w:shd w:fill="F7FAFC"/>
          </w:tcPr>
          <w:p>
            <w:pPr>
              <w:spacing w:after="0"/>
            </w:pPr>
            <w:r/>
            <w:r>
              <w:rPr>
                <w:b w:val="0"/>
                <w:sz w:val="16"/>
              </w:rPr>
              <w:t>High</w:t>
            </w:r>
          </w:p>
        </w:tc>
        <w:tc>
          <w:tcPr>
            <w:tcW w:type="dxa" w:w="4365"/>
            <w:vAlign w:val="center"/>
            <w:shd w:fill="F7FAFC"/>
          </w:tcPr>
          <w:p>
            <w:pPr>
              <w:spacing w:after="0"/>
            </w:pPr>
            <w:r/>
            <w:r>
              <w:rPr>
                <w:b w:val="0"/>
                <w:sz w:val="16"/>
              </w:rPr>
              <w:t>TOPSIS selected 2023 for Super User and 2024 for Software Engineering using arbitrary equal weights.</w:t>
            </w:r>
          </w:p>
        </w:tc>
        <w:tc>
          <w:tcPr>
            <w:tcW w:type="dxa" w:w="3912"/>
            <w:vAlign w:val="center"/>
            <w:shd w:fill="F7FAFC"/>
          </w:tcPr>
          <w:p>
            <w:pPr>
              <w:spacing w:after="0"/>
            </w:pPr>
            <w:r/>
            <w:r>
              <w:rPr>
                <w:b w:val="0"/>
                <w:sz w:val="16"/>
              </w:rPr>
              <w:t>Choose one common period from the research design and apply a fixed follow-up window.</w:t>
            </w:r>
          </w:p>
        </w:tc>
      </w:tr>
      <w:tr>
        <w:trPr>
          <w:cantSplit/>
        </w:trPr>
        <w:tc>
          <w:tcPr>
            <w:tcW w:type="dxa" w:w="964"/>
            <w:vAlign w:val="center"/>
          </w:tcPr>
          <w:p>
            <w:pPr>
              <w:spacing w:after="0"/>
            </w:pPr>
            <w:r/>
            <w:r>
              <w:rPr>
                <w:b w:val="0"/>
                <w:sz w:val="16"/>
              </w:rPr>
              <w:t>Medium</w:t>
            </w:r>
          </w:p>
        </w:tc>
        <w:tc>
          <w:tcPr>
            <w:tcW w:type="dxa" w:w="4365"/>
            <w:vAlign w:val="center"/>
          </w:tcPr>
          <w:p>
            <w:pPr>
              <w:spacing w:after="0"/>
            </w:pPr>
            <w:r/>
            <w:r>
              <w:rPr>
                <w:b w:val="0"/>
                <w:sz w:val="16"/>
              </w:rPr>
              <w:t>favorite_count is empty in every current annual run because the feature was retired. Several validation flags are constant, and fastest_response_time_hours duplicates time_to_first_answer_hours.</w:t>
            </w:r>
          </w:p>
        </w:tc>
        <w:tc>
          <w:tcPr>
            <w:tcW w:type="dxa" w:w="3912"/>
            <w:vAlign w:val="center"/>
          </w:tcPr>
          <w:p>
            <w:pPr>
              <w:spacing w:after="0"/>
            </w:pPr>
            <w:r/>
            <w:r>
              <w:rPr>
                <w:b w:val="0"/>
                <w:sz w:val="16"/>
              </w:rPr>
              <w:t>Remove empty, constant, and duplicate columns from the analytical table.</w:t>
            </w:r>
          </w:p>
        </w:tc>
      </w:tr>
      <w:tr>
        <w:trPr>
          <w:cantSplit/>
        </w:trPr>
        <w:tc>
          <w:tcPr>
            <w:tcW w:type="dxa" w:w="964"/>
            <w:vAlign w:val="center"/>
            <w:shd w:fill="F7FAFC"/>
          </w:tcPr>
          <w:p>
            <w:pPr>
              <w:spacing w:after="0"/>
            </w:pPr>
            <w:r/>
            <w:r>
              <w:rPr>
                <w:b w:val="0"/>
                <w:sz w:val="16"/>
              </w:rPr>
              <w:t>Medium</w:t>
            </w:r>
          </w:p>
        </w:tc>
        <w:tc>
          <w:tcPr>
            <w:tcW w:type="dxa" w:w="4365"/>
            <w:vAlign w:val="center"/>
            <w:shd w:fill="F7FAFC"/>
          </w:tcPr>
          <w:p>
            <w:pPr>
              <w:spacing w:after="0"/>
            </w:pPr>
            <w:r/>
            <w:r>
              <w:rPr>
                <w:b w:val="0"/>
                <w:sz w:val="16"/>
              </w:rPr>
              <w:t>topic_response_ratio and TF-IDF depend on the selected run, so values change when the extraction period or sample changes.</w:t>
            </w:r>
          </w:p>
        </w:tc>
        <w:tc>
          <w:tcPr>
            <w:tcW w:type="dxa" w:w="3912"/>
            <w:vAlign w:val="center"/>
            <w:shd w:fill="F7FAFC"/>
          </w:tcPr>
          <w:p>
            <w:pPr>
              <w:spacing w:after="0"/>
            </w:pPr>
            <w:r/>
            <w:r>
              <w:rPr>
                <w:b w:val="0"/>
                <w:sz w:val="16"/>
              </w:rPr>
              <w:t>Calculate dataset-dependent analytical features in a dedicated analysis/modeling step with documented fit data.</w:t>
            </w:r>
          </w:p>
        </w:tc>
      </w:tr>
      <w:tr>
        <w:trPr>
          <w:cantSplit/>
        </w:trPr>
        <w:tc>
          <w:tcPr>
            <w:tcW w:type="dxa" w:w="964"/>
            <w:vAlign w:val="center"/>
          </w:tcPr>
          <w:p>
            <w:pPr>
              <w:spacing w:after="0"/>
            </w:pPr>
            <w:r/>
            <w:r>
              <w:rPr>
                <w:b w:val="0"/>
                <w:sz w:val="16"/>
              </w:rPr>
              <w:t>Medium</w:t>
            </w:r>
          </w:p>
        </w:tc>
        <w:tc>
          <w:tcPr>
            <w:tcW w:type="dxa" w:w="4365"/>
            <w:vAlign w:val="center"/>
          </w:tcPr>
          <w:p>
            <w:pPr>
              <w:spacing w:after="0"/>
            </w:pPr>
            <w:r/>
            <w:r>
              <w:rPr>
                <w:b w:val="0"/>
                <w:sz w:val="16"/>
              </w:rPr>
              <w:t>User reputation, badges, views, scores, and tag counts are April 2026 snapshot values. They are currently presented without a temporal-availability classification.</w:t>
            </w:r>
          </w:p>
        </w:tc>
        <w:tc>
          <w:tcPr>
            <w:tcW w:type="dxa" w:w="3912"/>
            <w:vAlign w:val="center"/>
          </w:tcPr>
          <w:p>
            <w:pPr>
              <w:spacing w:after="0"/>
            </w:pPr>
            <w:r/>
            <w:r>
              <w:rPr>
                <w:b w:val="0"/>
                <w:sz w:val="16"/>
              </w:rPr>
              <w:t>Classify fields as question-time content, later community evidence, or dump-snapshot context.</w:t>
            </w:r>
          </w:p>
        </w:tc>
      </w:tr>
    </w:tbl>
    <w:p>
      <w:pPr>
        <w:spacing w:after="0"/>
      </w:pPr>
    </w:p>
    <w:p>
      <w:pPr>
        <w:pStyle w:val="Heading1"/>
        <w:keepNext/>
      </w:pPr>
      <w:r>
        <w:t>4. Scientific corrections</w:t>
      </w:r>
    </w:p>
    <w:p>
      <w:pPr>
        <w:pStyle w:val="Heading2"/>
        <w:keepNext/>
      </w:pPr>
      <w:r>
        <w:t>4.1 Separate evidence from labels</w:t>
      </w:r>
    </w:p>
    <w:p>
      <w:pPr>
        <w:pStyle w:val="ListBullet"/>
        <w:spacing w:after="20"/>
      </w:pPr>
      <w:r>
        <w:t>Question-time evidence: title, current dump body, tags, code, links, and basic text measurements. PostHistory is needed when the original pre-edit formulation is required.</w:t>
      </w:r>
    </w:p>
    <w:p>
      <w:pPr>
        <w:pStyle w:val="ListBullet"/>
        <w:spacing w:after="20"/>
      </w:pPr>
      <w:r>
        <w:t>Later human evidence: available answers, first-answer delay, question comments, closure, acceptance, scores, and views.</w:t>
      </w:r>
    </w:p>
    <w:p>
      <w:pPr>
        <w:pStyle w:val="ListBullet"/>
        <w:spacing w:after="20"/>
      </w:pPr>
      <w:r>
        <w:t>Manual human label: an explicit annotation produced from a stable rubric. Platform traces remain supporting evidence.</w:t>
      </w:r>
    </w:p>
    <w:p>
      <w:pPr>
        <w:pStyle w:val="ListBullet"/>
        <w:spacing w:after="20"/>
      </w:pPr>
      <w:r>
        <w:t>Model outcome: correctness, relevance, completeness, reproducibility, uncertainty, refusal, and any retrieval evidence. These values come from a separate model-evaluation protocol.</w:t>
      </w:r>
    </w:p>
    <w:p>
      <w:pPr>
        <w:pStyle w:val="Heading2"/>
        <w:keepNext/>
      </w:pPr>
      <w:r>
        <w:t>4.2 Use a fixed observation design</w:t>
      </w:r>
    </w:p>
    <w:p>
      <w:pPr>
        <w:pStyle w:val="ListBullet"/>
        <w:spacing w:after="20"/>
      </w:pPr>
      <w:r>
        <w:t>Record the dump snapshot date: 20 April 2026.</w:t>
      </w:r>
    </w:p>
    <w:p>
      <w:pPr>
        <w:pStyle w:val="ListBullet"/>
        <w:spacing w:after="20"/>
      </w:pPr>
      <w:r>
        <w:t>Use the same calendar period for both sites. The previous automatic site-specific year choice prevents a clean comparison.</w:t>
      </w:r>
    </w:p>
    <w:p>
      <w:pPr>
        <w:pStyle w:val="ListBullet"/>
        <w:spacing w:after="20"/>
      </w:pPr>
      <w:r>
        <w:t>Define outcomes within a fixed follow-up period, such as answer within 30 days. This gives every question the same opportunity to receive a response.</w:t>
      </w:r>
    </w:p>
    <w:p>
      <w:pPr>
        <w:pStyle w:val="ListBullet"/>
        <w:spacing w:after="20"/>
      </w:pPr>
      <w:r>
        <w:t>Describe acceptance at day precision when it comes from Votes.xml. Preserve the accepted answer posting time as a separate exact timestamp.</w:t>
      </w:r>
    </w:p>
    <w:p>
      <w:pPr>
        <w:pStyle w:val="ListBullet"/>
        <w:spacing w:after="20"/>
      </w:pPr>
      <w:r>
        <w:t>Analyze Super User and Software Engineering separately before any combined result because their traffic and community norms differ.</w:t>
      </w:r>
    </w:p>
    <w:p>
      <w:pPr>
        <w:pStyle w:val="Heading2"/>
        <w:keepNext/>
      </w:pPr>
      <w:r>
        <w:t>4.3 Keep only defensible characteristics</w:t>
      </w:r>
    </w:p>
    <w:p>
      <w:r>
        <w:t>Recommended first canonical table: identifiers and provenance; question title/body/tags; creation and closure dates; source and available answer/comment counts; first-answer timing; accepted-answer identity, posting time, and acceptance date; question score/views; concise text/code/link counts; validation status. User snapshot features, experimental readability, TF-IDF, and run-dependent topic rates can return later when their role is justified.</w:t>
      </w:r>
    </w:p>
    <w:p>
      <w:pPr>
        <w:pStyle w:val="Heading1"/>
        <w:keepNext/>
      </w:pPr>
      <w:r>
        <w:t>5. Target project structure</w:t>
      </w:r>
    </w:p>
    <w:p>
      <w:pPr>
        <w:spacing w:after="100"/>
        <w:ind w:left="340"/>
      </w:pPr>
      <w:r>
        <w:rPr>
          <w:rFonts w:ascii="Aptos Mono" w:hAnsi="Aptos Mono"/>
          <w:sz w:val="16"/>
        </w:rPr>
        <w:t>projects/stackexchange-difficulty/</w:t>
        <w:br/>
        <w:t>├── README.md                         short navigation index</w:t>
        <w:br/>
        <w:t>├── requirements.txt                  minimal reproducible environment</w:t>
        <w:br/>
        <w:t>├── src/</w:t>
        <w:br/>
        <w:t>│   ├── extract_threads.py            full thread XML</w:t>
        <w:br/>
        <w:t>│   ├── extract_request_summary.py    requested 12-field XML</w:t>
        <w:br/>
        <w:t>│   └── build_characteristics.py      canonical thread table</w:t>
        <w:br/>
        <w:t>├── config/characteristics.tsv        one versioned field specification</w:t>
        <w:br/>
        <w:t>├── notebooks/eda.ipynb               one generic, self-contained EDA</w:t>
        <w:br/>
        <w:t>├── data/</w:t>
        <w:br/>
        <w:t>│   ├── raw/                           ignored local dump location</w:t>
        <w:br/>
        <w:t>│   ├── processed/                     regenerated canonical TSV runs</w:t>
        <w:br/>
        <w:t>│   └── examples/                      small supervisor examples</w:t>
        <w:br/>
        <w:t>├── docs/</w:t>
        <w:br/>
        <w:t>│   ├── tutorials/                     guided first run</w:t>
        <w:br/>
        <w:t>│   ├── how-to/                        task-oriented DOCX guides</w:t>
        <w:br/>
        <w:t>│   ├── reference/                     dictionary and file/CLI reference</w:t>
        <w:br/>
        <w:t>│   └── explanation/                   method, choices, and limitations</w:t>
        <w:br/>
        <w:t>└── results/                           final tables and research conclusions</w:t>
      </w:r>
    </w:p>
    <w:tbl>
      <w:tblPr>
        <w:tblStyle w:val="TableGrid"/>
        <w:tblW w:type="auto" w:w="0"/>
        <w:tblLook w:firstColumn="1" w:firstRow="1" w:lastColumn="0" w:lastRow="0" w:noHBand="0" w:noVBand="1" w:val="04A0"/>
      </w:tblPr>
      <w:tblGrid>
        <w:gridCol w:w="10370"/>
      </w:tblGrid>
      <w:tr>
        <w:trPr>
          <w:tblHeader w:val="true"/>
          <w:cantSplit/>
        </w:trPr>
        <w:tc>
          <w:tcPr>
            <w:tcW w:type="dxa" w:w="10370"/>
            <w:shd w:fill="E2F0D9"/>
          </w:tcPr>
          <w:p>
            <w:pPr>
              <w:spacing w:after="0"/>
            </w:pPr>
            <w:r>
              <w:rPr>
                <w:b/>
              </w:rPr>
              <w:t xml:space="preserve">Diátaxis rule: </w:t>
            </w:r>
            <w:r>
              <w:t>Tutorials teach, how-to guides solve a task, reference documents describe exact facts, and explanation documents justify the research design. Each document has one role.</w:t>
            </w:r>
          </w:p>
        </w:tc>
      </w:tr>
    </w:tbl>
    <w:p>
      <w:pPr>
        <w:spacing w:after="0"/>
      </w:pPr>
    </w:p>
    <w:p>
      <w:pPr>
        <w:pStyle w:val="Heading1"/>
        <w:keepNext/>
      </w:pPr>
      <w:r>
        <w:t>6. Workspace cleanup rules</w:t>
      </w:r>
    </w:p>
    <w:tbl>
      <w:tblPr>
        <w:tblStyle w:val="TableGrid"/>
        <w:tblW w:type="auto" w:w="0"/>
        <w:jc w:val="center"/>
        <w:tblLook w:firstColumn="1" w:firstRow="1" w:lastColumn="0" w:lastRow="0" w:noHBand="0" w:noVBand="1" w:val="04A0"/>
      </w:tblPr>
      <w:tblGrid>
        <w:gridCol w:w="5185"/>
        <w:gridCol w:w="5185"/>
      </w:tblGrid>
      <w:tr>
        <w:trPr>
          <w:tblHeader w:val="true"/>
          <w:cantSplit/>
        </w:trPr>
        <w:tc>
          <w:tcPr>
            <w:tcW w:type="dxa" w:w="3685"/>
            <w:vAlign w:val="center"/>
            <w:shd w:fill="1F4E78"/>
          </w:tcPr>
          <w:p>
            <w:pPr>
              <w:spacing w:after="0"/>
            </w:pPr>
            <w:r/>
            <w:r>
              <w:rPr>
                <w:b/>
                <w:color w:val="FFFFFF"/>
                <w:sz w:val="17"/>
              </w:rPr>
              <w:t>Current material</w:t>
            </w:r>
          </w:p>
        </w:tc>
        <w:tc>
          <w:tcPr>
            <w:tcW w:type="dxa" w:w="5669"/>
            <w:vAlign w:val="center"/>
            <w:shd w:fill="1F4E78"/>
          </w:tcPr>
          <w:p>
            <w:pPr>
              <w:spacing w:after="0"/>
            </w:pPr>
            <w:r/>
            <w:r>
              <w:rPr>
                <w:b/>
                <w:color w:val="FFFFFF"/>
                <w:sz w:val="17"/>
              </w:rPr>
              <w:t>Action</w:t>
            </w:r>
          </w:p>
        </w:tc>
      </w:tr>
      <w:tr>
        <w:trPr>
          <w:cantSplit/>
        </w:trPr>
        <w:tc>
          <w:tcPr>
            <w:tcW w:type="dxa" w:w="3685"/>
            <w:vAlign w:val="center"/>
            <w:shd w:fill="F7FAFC"/>
          </w:tcPr>
          <w:p>
            <w:pPr>
              <w:spacing w:after="0"/>
            </w:pPr>
            <w:r/>
            <w:r>
              <w:rPr>
                <w:b w:val="0"/>
                <w:sz w:val="16"/>
              </w:rPr>
              <w:t>Dumps/ personal CV and application-flow files</w:t>
            </w:r>
          </w:p>
        </w:tc>
        <w:tc>
          <w:tcPr>
            <w:tcW w:type="dxa" w:w="5669"/>
            <w:vAlign w:val="center"/>
            <w:shd w:fill="F7FAFC"/>
          </w:tcPr>
          <w:p>
            <w:pPr>
              <w:spacing w:after="0"/>
            </w:pPr>
            <w:r/>
            <w:r>
              <w:rPr>
                <w:b w:val="0"/>
                <w:sz w:val="16"/>
              </w:rPr>
              <w:t>Move outside the research project; they contain personal material.</w:t>
            </w:r>
          </w:p>
        </w:tc>
      </w:tr>
      <w:tr>
        <w:trPr>
          <w:cantSplit/>
        </w:trPr>
        <w:tc>
          <w:tcPr>
            <w:tcW w:type="dxa" w:w="3685"/>
            <w:vAlign w:val="center"/>
          </w:tcPr>
          <w:p>
            <w:pPr>
              <w:spacing w:after="0"/>
            </w:pPr>
            <w:r/>
            <w:r>
              <w:rPr>
                <w:b w:val="0"/>
                <w:sz w:val="16"/>
              </w:rPr>
              <w:t>Two active site-specific EDA notebooks and v2/v3 variants</w:t>
            </w:r>
          </w:p>
        </w:tc>
        <w:tc>
          <w:tcPr>
            <w:tcW w:type="dxa" w:w="5669"/>
            <w:vAlign w:val="center"/>
          </w:tcPr>
          <w:p>
            <w:pPr>
              <w:spacing w:after="0"/>
            </w:pPr>
            <w:r/>
            <w:r>
              <w:rPr>
                <w:b w:val="0"/>
                <w:sz w:val="16"/>
              </w:rPr>
              <w:t>Keep until the generic notebook passes, then archive all replaced versions.</w:t>
            </w:r>
          </w:p>
        </w:tc>
      </w:tr>
      <w:tr>
        <w:trPr>
          <w:cantSplit/>
        </w:trPr>
        <w:tc>
          <w:tcPr>
            <w:tcW w:type="dxa" w:w="3685"/>
            <w:vAlign w:val="center"/>
            <w:shd w:fill="F7FAFC"/>
          </w:tcPr>
          <w:p>
            <w:pPr>
              <w:spacing w:after="0"/>
            </w:pPr>
            <w:r/>
            <w:r>
              <w:rPr>
                <w:b w:val="0"/>
                <w:sz w:val="16"/>
              </w:rPr>
              <w:t>tmp/build_self_contained_eda_notebooks.py</w:t>
            </w:r>
          </w:p>
        </w:tc>
        <w:tc>
          <w:tcPr>
            <w:tcW w:type="dxa" w:w="5669"/>
            <w:vAlign w:val="center"/>
            <w:shd w:fill="F7FAFC"/>
          </w:tcPr>
          <w:p>
            <w:pPr>
              <w:spacing w:after="0"/>
            </w:pPr>
            <w:r/>
            <w:r>
              <w:rPr>
                <w:b w:val="0"/>
                <w:sz w:val="16"/>
              </w:rPr>
              <w:t>Remove from the active path after the generic notebook exists. A generator is unnecessary for one notebook.</w:t>
            </w:r>
          </w:p>
        </w:tc>
      </w:tr>
      <w:tr>
        <w:trPr>
          <w:cantSplit/>
        </w:trPr>
        <w:tc>
          <w:tcPr>
            <w:tcW w:type="dxa" w:w="3685"/>
            <w:vAlign w:val="center"/>
          </w:tcPr>
          <w:p>
            <w:pPr>
              <w:spacing w:after="0"/>
            </w:pPr>
            <w:r/>
            <w:r>
              <w:rPr>
                <w:b w:val="0"/>
                <w:sz w:val="16"/>
              </w:rPr>
              <w:t>full_output JSON copies</w:t>
            </w:r>
          </w:p>
        </w:tc>
        <w:tc>
          <w:tcPr>
            <w:tcW w:type="dxa" w:w="5669"/>
            <w:vAlign w:val="center"/>
          </w:tcPr>
          <w:p>
            <w:pPr>
              <w:spacing w:after="0"/>
            </w:pPr>
            <w:r/>
            <w:r>
              <w:rPr>
                <w:b w:val="0"/>
                <w:sz w:val="16"/>
              </w:rPr>
              <w:t>Stop generating them; TSV is the analytical source. Preserve only any specifically requested JSON example.</w:t>
            </w:r>
          </w:p>
        </w:tc>
      </w:tr>
      <w:tr>
        <w:trPr>
          <w:cantSplit/>
        </w:trPr>
        <w:tc>
          <w:tcPr>
            <w:tcW w:type="dxa" w:w="3685"/>
            <w:vAlign w:val="center"/>
            <w:shd w:fill="F7FAFC"/>
          </w:tcPr>
          <w:p>
            <w:pPr>
              <w:spacing w:after="0"/>
            </w:pPr>
            <w:r/>
            <w:r>
              <w:rPr>
                <w:b w:val="0"/>
                <w:sz w:val="16"/>
              </w:rPr>
              <w:t>Smoke/sample runs and duplicate superuser_selected_2023</w:t>
            </w:r>
          </w:p>
        </w:tc>
        <w:tc>
          <w:tcPr>
            <w:tcW w:type="dxa" w:w="5669"/>
            <w:vAlign w:val="center"/>
            <w:shd w:fill="F7FAFC"/>
          </w:tcPr>
          <w:p>
            <w:pPr>
              <w:spacing w:after="0"/>
            </w:pPr>
            <w:r/>
            <w:r>
              <w:rPr>
                <w:b w:val="0"/>
                <w:sz w:val="16"/>
              </w:rPr>
              <w:t>Archive or remove after checksums confirm the canonical replacement.</w:t>
            </w:r>
          </w:p>
        </w:tc>
      </w:tr>
      <w:tr>
        <w:trPr>
          <w:cantSplit/>
        </w:trPr>
        <w:tc>
          <w:tcPr>
            <w:tcW w:type="dxa" w:w="3685"/>
            <w:vAlign w:val="center"/>
          </w:tcPr>
          <w:p>
            <w:pPr>
              <w:spacing w:after="0"/>
            </w:pPr>
            <w:r/>
            <w:r>
              <w:rPr>
                <w:b w:val="0"/>
                <w:sz w:val="16"/>
              </w:rPr>
              <w:t>Old EDA side-output folders</w:t>
            </w:r>
          </w:p>
        </w:tc>
        <w:tc>
          <w:tcPr>
            <w:tcW w:type="dxa" w:w="5669"/>
            <w:vAlign w:val="center"/>
          </w:tcPr>
          <w:p>
            <w:pPr>
              <w:spacing w:after="0"/>
            </w:pPr>
            <w:r/>
            <w:r>
              <w:rPr>
                <w:b w:val="0"/>
                <w:sz w:val="16"/>
              </w:rPr>
              <w:t>Archive. The requested EDA remains notebook-centered.</w:t>
            </w:r>
          </w:p>
        </w:tc>
      </w:tr>
      <w:tr>
        <w:trPr>
          <w:cantSplit/>
        </w:trPr>
        <w:tc>
          <w:tcPr>
            <w:tcW w:type="dxa" w:w="3685"/>
            <w:vAlign w:val="center"/>
            <w:shd w:fill="F7FAFC"/>
          </w:tcPr>
          <w:p>
            <w:pPr>
              <w:spacing w:after="0"/>
            </w:pPr>
            <w:r/>
            <w:r>
              <w:rPr>
                <w:b w:val="0"/>
                <w:sz w:val="16"/>
              </w:rPr>
              <w:t>Multiple dictionary builders and workbook versions</w:t>
            </w:r>
          </w:p>
        </w:tc>
        <w:tc>
          <w:tcPr>
            <w:tcW w:type="dxa" w:w="5669"/>
            <w:vAlign w:val="center"/>
            <w:shd w:fill="F7FAFC"/>
          </w:tcPr>
          <w:p>
            <w:pPr>
              <w:spacing w:after="0"/>
            </w:pPr>
            <w:r/>
            <w:r>
              <w:rPr>
                <w:b w:val="0"/>
                <w:sz w:val="16"/>
              </w:rPr>
              <w:t>Retain one export path after the source-of-truth decision.</w:t>
            </w:r>
          </w:p>
        </w:tc>
      </w:tr>
      <w:tr>
        <w:trPr>
          <w:cantSplit/>
        </w:trPr>
        <w:tc>
          <w:tcPr>
            <w:tcW w:type="dxa" w:w="3685"/>
            <w:vAlign w:val="center"/>
          </w:tcPr>
          <w:p>
            <w:pPr>
              <w:spacing w:after="0"/>
            </w:pPr>
            <w:r/>
            <w:r>
              <w:rPr>
                <w:b w:val="0"/>
                <w:sz w:val="16"/>
              </w:rPr>
              <w:t>files_unzipped and files*.zip</w:t>
            </w:r>
          </w:p>
        </w:tc>
        <w:tc>
          <w:tcPr>
            <w:tcW w:type="dxa" w:w="5669"/>
            <w:vAlign w:val="center"/>
          </w:tcPr>
          <w:p>
            <w:pPr>
              <w:spacing w:after="0"/>
            </w:pPr>
            <w:r/>
            <w:r>
              <w:rPr>
                <w:b w:val="0"/>
                <w:sz w:val="16"/>
              </w:rPr>
              <w:t>Treat as backup copies. Verify hashes and backup coverage before deletion.</w:t>
            </w:r>
          </w:p>
        </w:tc>
      </w:tr>
      <w:tr>
        <w:trPr>
          <w:cantSplit/>
        </w:trPr>
        <w:tc>
          <w:tcPr>
            <w:tcW w:type="dxa" w:w="3685"/>
            <w:vAlign w:val="center"/>
            <w:shd w:fill="F7FAFC"/>
          </w:tcPr>
          <w:p>
            <w:pPr>
              <w:spacing w:after="0"/>
            </w:pPr>
            <w:r/>
            <w:r>
              <w:rPr>
                <w:b w:val="0"/>
                <w:sz w:val="16"/>
              </w:rPr>
              <w:t>Automated terminal/GUI/Codex reports</w:t>
            </w:r>
          </w:p>
        </w:tc>
        <w:tc>
          <w:tcPr>
            <w:tcW w:type="dxa" w:w="5669"/>
            <w:vAlign w:val="center"/>
            <w:shd w:fill="F7FAFC"/>
          </w:tcPr>
          <w:p>
            <w:pPr>
              <w:spacing w:after="0"/>
            </w:pPr>
            <w:r/>
            <w:r>
              <w:rPr>
                <w:b w:val="0"/>
                <w:sz w:val="16"/>
              </w:rPr>
              <w:t>Keep outside the canonical deliverable. They are audit traces rather than scientific results.</w:t>
            </w:r>
          </w:p>
        </w:tc>
      </w:tr>
      <w:tr>
        <w:trPr>
          <w:cantSplit/>
        </w:trPr>
        <w:tc>
          <w:tcPr>
            <w:tcW w:type="dxa" w:w="3685"/>
            <w:vAlign w:val="center"/>
          </w:tcPr>
          <w:p>
            <w:pPr>
              <w:spacing w:after="0"/>
            </w:pPr>
            <w:r/>
            <w:r>
              <w:rPr>
                <w:b w:val="0"/>
                <w:sz w:val="16"/>
              </w:rPr>
              <w:t>LaTeX build files and duplicate PDFs</w:t>
            </w:r>
          </w:p>
        </w:tc>
        <w:tc>
          <w:tcPr>
            <w:tcW w:type="dxa" w:w="5669"/>
            <w:vAlign w:val="center"/>
          </w:tcPr>
          <w:p>
            <w:pPr>
              <w:spacing w:after="0"/>
            </w:pPr>
            <w:r/>
            <w:r>
              <w:rPr>
                <w:b w:val="0"/>
                <w:sz w:val="16"/>
              </w:rPr>
              <w:t>Keep one final PDF and editable source; archive auxiliary and render-check files.</w:t>
            </w:r>
          </w:p>
        </w:tc>
      </w:tr>
    </w:tbl>
    <w:p>
      <w:pPr>
        <w:spacing w:after="0"/>
      </w:pPr>
    </w:p>
    <w:p>
      <w:pPr>
        <w:pStyle w:val="Heading1"/>
        <w:keepNext/>
      </w:pPr>
      <w:r>
        <w:t>7. Prioritized recovery sequence</w:t>
      </w:r>
    </w:p>
    <w:p>
      <w:pPr>
        <w:pStyle w:val="ListNumber"/>
        <w:spacing w:after="20"/>
      </w:pPr>
      <w:r>
        <w:t>Freeze the current state: create a checksum inventory and copy active work into a new canonical project. Preserve current files until replacements are verified.</w:t>
      </w:r>
    </w:p>
    <w:p>
      <w:pPr>
        <w:pStyle w:val="ListNumber"/>
        <w:spacing w:after="20"/>
      </w:pPr>
      <w:r>
        <w:t>Define the canonical characteristics and their meanings before rewriting code. Add origin group, availability stage, formula, missing-value rule, precision, and implementation status.</w:t>
      </w:r>
    </w:p>
    <w:p>
      <w:pPr>
        <w:pStyle w:val="ListNumber"/>
        <w:spacing w:after="20"/>
      </w:pPr>
      <w:r>
        <w:t>Rewrite the characteristic pipeline around that specification. Correct answer counts, acceptance timing, source provenance, and output metadata. Regenerate a small sample and then the common analysis period for both sites.</w:t>
      </w:r>
    </w:p>
    <w:p>
      <w:pPr>
        <w:pStyle w:val="ListNumber"/>
        <w:spacing w:after="20"/>
      </w:pPr>
      <w:r>
        <w:t>Replace the duplicated notebooks with one generic EDA. Use complete categorical/overflow bins, cumulative event-aware monthly plots, concise result-specific interpretations, meaningful non-structural correlations, and a short candidate table for later annotation.</w:t>
      </w:r>
    </w:p>
    <w:p>
      <w:pPr>
        <w:pStyle w:val="ListNumber"/>
        <w:spacing w:after="20"/>
      </w:pPr>
      <w:r>
        <w:t>Synchronize the local dictionary with the reviewed Google Sheet and generate one reference workbook. Remove all execution dependency on the workbook.</w:t>
      </w:r>
    </w:p>
    <w:p>
      <w:pPr>
        <w:pStyle w:val="ListNumber"/>
        <w:spacing w:after="20"/>
      </w:pPr>
      <w:r>
        <w:t>Create a fresh annotation rubric and sample on the current two sites. Platform traces guide sampling; the manual label records human difficulty.</w:t>
      </w:r>
    </w:p>
    <w:p>
      <w:pPr>
        <w:pStyle w:val="ListNumber"/>
        <w:spacing w:after="20"/>
      </w:pPr>
      <w:r>
        <w:t>Run a small reproducible model-evaluation pilot on the same questions. Record model, prompt, parameters, outputs, and human evaluation.</w:t>
      </w:r>
    </w:p>
    <w:p>
      <w:pPr>
        <w:pStyle w:val="ListNumber"/>
        <w:spacing w:after="20"/>
      </w:pPr>
      <w:r>
        <w:t>Report the four comparison groups: easy for both, difficult for both, difficult mainly for humans, and difficult mainly for the model.</w:t>
      </w:r>
    </w:p>
    <w:p>
      <w:pPr>
        <w:pStyle w:val="ListNumber"/>
        <w:spacing w:after="20"/>
      </w:pPr>
      <w:r>
        <w:t>Complete Diátaxis documentation and package only the canonical source, examples, dictionary, notebook, results, and state-of-the-art report.</w:t>
      </w:r>
    </w:p>
    <w:p>
      <w:pPr>
        <w:pStyle w:val="ListNumber"/>
        <w:spacing w:after="20"/>
      </w:pPr>
      <w:r>
        <w:t>Archive superseded files and remove exact duplicates after checksum and backup verification.</w:t>
      </w:r>
    </w:p>
    <w:p>
      <w:pPr>
        <w:pStyle w:val="Heading1"/>
        <w:keepNext/>
      </w:pPr>
      <w:r>
        <w:t>8. Definition of a successful internship result</w:t>
      </w:r>
    </w:p>
    <w:p>
      <w:pPr>
        <w:pStyle w:val="ListBullet"/>
        <w:spacing w:after="20"/>
      </w:pPr>
      <w:r>
        <w:t>A stranger can install and run the project from documented commands.</w:t>
      </w:r>
    </w:p>
    <w:p>
      <w:pPr>
        <w:pStyle w:val="ListBullet"/>
        <w:spacing w:after="20"/>
      </w:pPr>
      <w:r>
        <w:t>Each characteristic has one exact meaning that matches the code and the output.</w:t>
      </w:r>
    </w:p>
    <w:p>
      <w:pPr>
        <w:pStyle w:val="ListBullet"/>
        <w:spacing w:after="20"/>
      </w:pPr>
      <w:r>
        <w:t>One generic EDA explains the data and reports a small set of defensible findings.</w:t>
      </w:r>
    </w:p>
    <w:p>
      <w:pPr>
        <w:pStyle w:val="ListBullet"/>
        <w:spacing w:after="20"/>
      </w:pPr>
      <w:r>
        <w:t>The study distinguishes human evidence, manual human labels, and model outcomes.</w:t>
      </w:r>
    </w:p>
    <w:p>
      <w:pPr>
        <w:pStyle w:val="ListBullet"/>
        <w:spacing w:after="20"/>
      </w:pPr>
      <w:r>
        <w:t>At least one reproducible paired pilot compares human and model difficulty on the same Stack Exchange questions.</w:t>
      </w:r>
    </w:p>
    <w:p>
      <w:pPr>
        <w:pStyle w:val="ListBullet"/>
        <w:spacing w:after="20"/>
      </w:pPr>
      <w:r>
        <w:t>The final delivery folder contains current work only, with licences, provenance, limitations, and clear navigation.</w:t>
      </w:r>
    </w:p>
    <w:tbl>
      <w:tblPr>
        <w:tblStyle w:val="TableGrid"/>
        <w:tblW w:type="auto" w:w="0"/>
        <w:tblLook w:firstColumn="1" w:firstRow="1" w:lastColumn="0" w:lastRow="0" w:noHBand="0" w:noVBand="1" w:val="04A0"/>
      </w:tblPr>
      <w:tblGrid>
        <w:gridCol w:w="10370"/>
      </w:tblGrid>
      <w:tr>
        <w:trPr>
          <w:tblHeader w:val="true"/>
          <w:cantSplit/>
        </w:trPr>
        <w:tc>
          <w:tcPr>
            <w:tcW w:type="dxa" w:w="10370"/>
            <w:shd w:fill="E2F0D9"/>
          </w:tcPr>
          <w:p>
            <w:pPr>
              <w:spacing w:after="0"/>
            </w:pPr>
            <w:r>
              <w:rPr>
                <w:b/>
              </w:rPr>
              <w:t xml:space="preserve">Immediate next batch: </w:t>
            </w:r>
            <w:r>
              <w:t>Create the canonical project without moving data, write the versioned characteristic specification, and refactor the pipeline against a small real sample. This batch resolves the highest-risk semantic errors before any new EDA or documentation expansion.</w:t>
            </w:r>
          </w:p>
        </w:tc>
      </w:tr>
    </w:tbl>
    <w:p>
      <w:pPr>
        <w:spacing w:after="0"/>
      </w:pPr>
    </w:p>
    <w:sectPr w:rsidR="00FC693F" w:rsidRPr="0006063C" w:rsidSect="00034616">
      <w:footerReference w:type="default" r:id="rId9"/>
      <w:pgSz w:w="11906" w:h="16838"/>
      <w:pgMar w:top="709" w:right="794" w:bottom="709"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Stack Exchange difficulty project recovery audit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recovery audit — Stack Exchange human–model difficulty internship</dc:title>
  <dc:subject>Confirmed project issues, target architecture, and recovery sequence</dc:subject>
  <dc:creator>Arman Karapetyan</dc:creator>
  <cp:keywords>Stack Exchange, difficulty, EDA, data dictionary, project recovery, internship</cp:keywords>
  <dc:description>generated by python-docx</dc:description>
  <cp:lastModifiedBy/>
  <cp:revision>1</cp:revision>
  <dcterms:created xsi:type="dcterms:W3CDTF">2013-12-23T23:15:00Z</dcterms:created>
  <dcterms:modified xsi:type="dcterms:W3CDTF">2013-12-23T23:15:00Z</dcterms:modified>
  <cp:category/>
</cp:coreProperties>
</file>