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Référence des commandes et fichiers</w:t>
      </w:r>
    </w:p>
    <w:p>
      <w:r>
        <w:rPr>
          <w:b/>
          <w:sz w:val="24"/>
        </w:rPr>
        <w:t>Contrat exact du projet canonique</w:t>
      </w:r>
    </w:p>
    <w:p>
      <w:r>
        <w:rPr>
          <w:i/>
          <w:color w:val="5A5A5A"/>
        </w:rPr>
        <w:t>Type Diátaxis : Référence</w:t>
      </w:r>
    </w:p>
    <w:p/>
    <w:p>
      <w:pPr>
        <w:pStyle w:val="Heading1"/>
      </w:pPr>
      <w:r>
        <w:t>Arborescence utile</w:t>
      </w:r>
    </w:p>
    <w:p>
      <w:pPr>
        <w:spacing w:before="80" w:after="120"/>
        <w:shd w:fill="F2F2F2"/>
      </w:pPr>
      <w:r>
        <w:rPr>
          <w:rFonts w:ascii="Liberation Mono" w:hAnsi="Liberation Mono"/>
          <w:sz w:val="17"/>
        </w:rPr>
        <w:t>config/characteristics.tsv          spécification versionnée des 47 champs</w:t>
        <w:br/>
        <w:t>data/examples/                      exemples XML vérifiés</w:t>
        <w:br/>
        <w:t>docs/                               documentation Diátaxis</w:t>
        <w:br/>
        <w:t>notebooks/stackexchange_eda.ipynb   EDA générique</w:t>
        <w:br/>
        <w:t>src/stackexchange_xml.py           règles XML communes</w:t>
        <w:br/>
        <w:t>src/question_characteristics.py     calcul documenté des 47 champs</w:t>
        <w:br/>
        <w:t>src/extract_threads.py             reconstruction complète</w:t>
        <w:br/>
        <w:t>src/extract_request_summary.py     extrait des 12 champs</w:t>
        <w:br/>
        <w:t>src/build_characteristics.py       tableau question-niveau</w:t>
      </w:r>
      <w:r>
        <w:br/>
        <w:t>docs/explanation/state-of-the-art-qpp-ppp-rag.pdf   état de l’art scientifique</w:t>
      </w:r>
    </w:p>
    <w:p>
      <w:pPr>
        <w:pStyle w:val="Heading1"/>
      </w:pPr>
      <w:r>
        <w:t>Sources XML</w:t>
      </w:r>
    </w:p>
    <w:tbl>
      <w:tblPr>
        <w:tblStyle w:val="TableGrid"/>
        <w:tblW w:type="auto" w:w="0"/>
        <w:tblLayout w:type="autofit"/>
        <w:tblLook w:firstColumn="1" w:firstRow="1" w:lastColumn="0" w:lastRow="0" w:noHBand="0" w:noVBand="1" w:val="04A0"/>
      </w:tblPr>
      <w:tblGrid>
        <w:gridCol w:w="5100"/>
        <w:gridCol w:w="5100"/>
      </w:tblGrid>
      <w:tr>
        <w:trPr>
          <w:tblHeader w:val="true"/>
          <w:cantSplit/>
        </w:trPr>
        <w:tc>
          <w:tcPr>
            <w:tcW w:type="dxa" w:w="5100"/>
            <w:shd w:fill="1F4E78"/>
            <w:vAlign w:val="center"/>
          </w:tcPr>
          <w:p>
            <w:r>
              <w:rPr>
                <w:b/>
                <w:color w:val="FFFFFF"/>
              </w:rPr>
              <w:t>Fichier</w:t>
            </w:r>
          </w:p>
        </w:tc>
        <w:tc>
          <w:tcPr>
            <w:tcW w:type="dxa" w:w="5100"/>
            <w:shd w:fill="1F4E78"/>
            <w:vAlign w:val="center"/>
          </w:tcPr>
          <w:p>
            <w:r>
              <w:rPr>
                <w:b/>
                <w:color w:val="FFFFFF"/>
              </w:rPr>
              <w:t>Utilisation</w:t>
            </w:r>
          </w:p>
        </w:tc>
      </w:tr>
      <w:tr>
        <w:trPr>
          <w:cantSplit/>
        </w:trPr>
        <w:tc>
          <w:tcPr>
            <w:tcW w:type="dxa" w:w="5100"/>
            <w:vAlign w:val="top"/>
          </w:tcPr>
          <w:p>
            <w:r>
              <w:t>Posts.xml</w:t>
            </w:r>
          </w:p>
        </w:tc>
        <w:tc>
          <w:tcPr>
            <w:tcW w:type="dxa" w:w="5100"/>
            <w:vAlign w:val="top"/>
          </w:tcPr>
          <w:p>
            <w:r>
              <w:t>Questions, réponses, contenus, scores, compteurs, tags et dates.</w:t>
            </w:r>
          </w:p>
        </w:tc>
      </w:tr>
      <w:tr>
        <w:trPr>
          <w:cantSplit/>
        </w:trPr>
        <w:tc>
          <w:tcPr>
            <w:tcW w:type="dxa" w:w="5100"/>
            <w:vAlign w:val="top"/>
          </w:tcPr>
          <w:p>
            <w:r>
              <w:t>Comments.xml</w:t>
            </w:r>
          </w:p>
        </w:tc>
        <w:tc>
          <w:tcPr>
            <w:tcW w:type="dxa" w:w="5100"/>
            <w:vAlign w:val="top"/>
          </w:tcPr>
          <w:p>
            <w:r>
              <w:t>Commentaires attachés directement aux questions sélectionnées.</w:t>
            </w:r>
          </w:p>
        </w:tc>
      </w:tr>
      <w:tr>
        <w:trPr>
          <w:cantSplit/>
        </w:trPr>
        <w:tc>
          <w:tcPr>
            <w:tcW w:type="dxa" w:w="5100"/>
            <w:vAlign w:val="top"/>
          </w:tcPr>
          <w:p>
            <w:r>
              <w:t>Votes.xml</w:t>
            </w:r>
          </w:p>
        </w:tc>
        <w:tc>
          <w:tcPr>
            <w:tcW w:type="dxa" w:w="5100"/>
            <w:vAlign w:val="top"/>
          </w:tcPr>
          <w:p>
            <w:r>
              <w:t>Jour de l’événement d’acceptation, VoteTypeId = 1.</w:t>
            </w:r>
          </w:p>
        </w:tc>
      </w:tr>
    </w:tbl>
    <w:p>
      <w:pPr>
        <w:pStyle w:val="Heading1"/>
      </w:pPr>
      <w:r>
        <w:t>build_characteristics.py : paramètres</w:t>
      </w:r>
    </w:p>
    <w:tbl>
      <w:tblPr>
        <w:tblStyle w:val="TableGrid"/>
        <w:tblW w:type="auto" w:w="0"/>
        <w:tblLayout w:type="autofit"/>
        <w:tblLook w:firstColumn="1" w:firstRow="1" w:lastColumn="0" w:lastRow="0" w:noHBand="0" w:noVBand="1" w:val="04A0"/>
      </w:tblPr>
      <w:tblGrid>
        <w:gridCol w:w="3400"/>
        <w:gridCol w:w="3400"/>
        <w:gridCol w:w="3400"/>
      </w:tblGrid>
      <w:tr>
        <w:trPr>
          <w:tblHeader w:val="true"/>
          <w:cantSplit/>
        </w:trPr>
        <w:tc>
          <w:tcPr>
            <w:tcW w:type="dxa" w:w="3400"/>
            <w:shd w:fill="1F4E78"/>
            <w:vAlign w:val="center"/>
          </w:tcPr>
          <w:p>
            <w:r>
              <w:rPr>
                <w:b/>
                <w:color w:val="FFFFFF"/>
              </w:rPr>
              <w:t>Paramètre</w:t>
            </w:r>
          </w:p>
        </w:tc>
        <w:tc>
          <w:tcPr>
            <w:tcW w:type="dxa" w:w="3400"/>
            <w:shd w:fill="1F4E78"/>
            <w:vAlign w:val="center"/>
          </w:tcPr>
          <w:p>
            <w:r>
              <w:rPr>
                <w:b/>
                <w:color w:val="FFFFFF"/>
              </w:rPr>
              <w:t>Obligatoire</w:t>
            </w:r>
          </w:p>
        </w:tc>
        <w:tc>
          <w:tcPr>
            <w:tcW w:type="dxa" w:w="3400"/>
            <w:shd w:fill="1F4E78"/>
            <w:vAlign w:val="center"/>
          </w:tcPr>
          <w:p>
            <w:r>
              <w:rPr>
                <w:b/>
                <w:color w:val="FFFFFF"/>
              </w:rPr>
              <w:t>Sens</w:t>
            </w:r>
          </w:p>
        </w:tc>
      </w:tr>
      <w:tr>
        <w:trPr>
          <w:cantSplit/>
        </w:trPr>
        <w:tc>
          <w:tcPr>
            <w:tcW w:type="dxa" w:w="3400"/>
            <w:vAlign w:val="top"/>
          </w:tcPr>
          <w:p>
            <w:r>
              <w:t>--dump-dir</w:t>
            </w:r>
          </w:p>
        </w:tc>
        <w:tc>
          <w:tcPr>
            <w:tcW w:type="dxa" w:w="3400"/>
            <w:vAlign w:val="top"/>
          </w:tcPr>
          <w:p>
            <w:r>
              <w:t>Oui</w:t>
            </w:r>
          </w:p>
        </w:tc>
        <w:tc>
          <w:tcPr>
            <w:tcW w:type="dxa" w:w="3400"/>
            <w:vAlign w:val="top"/>
          </w:tcPr>
          <w:p>
            <w:r>
              <w:t>Dossier contenant Posts.xml, Comments.xml et Votes.xml.</w:t>
            </w:r>
          </w:p>
        </w:tc>
      </w:tr>
      <w:tr>
        <w:trPr>
          <w:cantSplit/>
        </w:trPr>
        <w:tc>
          <w:tcPr>
            <w:tcW w:type="dxa" w:w="3400"/>
            <w:vAlign w:val="top"/>
          </w:tcPr>
          <w:p>
            <w:r>
              <w:t>--site</w:t>
            </w:r>
          </w:p>
        </w:tc>
        <w:tc>
          <w:tcPr>
            <w:tcW w:type="dxa" w:w="3400"/>
            <w:vAlign w:val="top"/>
          </w:tcPr>
          <w:p>
            <w:r>
              <w:t>Oui</w:t>
            </w:r>
          </w:p>
        </w:tc>
        <w:tc>
          <w:tcPr>
            <w:tcW w:type="dxa" w:w="3400"/>
            <w:vAlign w:val="top"/>
          </w:tcPr>
          <w:p>
            <w:r>
              <w:t>Nom d’hôte du site, par exemple superuser.com.</w:t>
            </w:r>
          </w:p>
        </w:tc>
      </w:tr>
      <w:tr>
        <w:trPr>
          <w:cantSplit/>
        </w:trPr>
        <w:tc>
          <w:tcPr>
            <w:tcW w:type="dxa" w:w="3400"/>
            <w:vAlign w:val="top"/>
          </w:tcPr>
          <w:p>
            <w:r>
              <w:t>--dump-date</w:t>
            </w:r>
          </w:p>
        </w:tc>
        <w:tc>
          <w:tcPr>
            <w:tcW w:type="dxa" w:w="3400"/>
            <w:vAlign w:val="top"/>
          </w:tcPr>
          <w:p>
            <w:r>
              <w:t>Oui</w:t>
            </w:r>
          </w:p>
        </w:tc>
        <w:tc>
          <w:tcPr>
            <w:tcW w:type="dxa" w:w="3400"/>
            <w:vAlign w:val="top"/>
          </w:tcPr>
          <w:p>
            <w:r>
              <w:t>Date déclarée du snapshot, format YYYY-MM-DD.</w:t>
            </w:r>
          </w:p>
        </w:tc>
      </w:tr>
      <w:tr>
        <w:trPr>
          <w:cantSplit/>
        </w:trPr>
        <w:tc>
          <w:tcPr>
            <w:tcW w:type="dxa" w:w="3400"/>
            <w:vAlign w:val="top"/>
          </w:tcPr>
          <w:p>
            <w:r>
              <w:t>--start-date</w:t>
            </w:r>
          </w:p>
        </w:tc>
        <w:tc>
          <w:tcPr>
            <w:tcW w:type="dxa" w:w="3400"/>
            <w:vAlign w:val="top"/>
          </w:tcPr>
          <w:p>
            <w:r>
              <w:t>Oui</w:t>
            </w:r>
          </w:p>
        </w:tc>
        <w:tc>
          <w:tcPr>
            <w:tcW w:type="dxa" w:w="3400"/>
            <w:vAlign w:val="top"/>
          </w:tcPr>
          <w:p>
            <w:r>
              <w:t>Premier jour de création inclus.</w:t>
            </w:r>
          </w:p>
        </w:tc>
      </w:tr>
      <w:tr>
        <w:trPr>
          <w:cantSplit/>
        </w:trPr>
        <w:tc>
          <w:tcPr>
            <w:tcW w:type="dxa" w:w="3400"/>
            <w:vAlign w:val="top"/>
          </w:tcPr>
          <w:p>
            <w:r>
              <w:t>--end-date</w:t>
            </w:r>
          </w:p>
        </w:tc>
        <w:tc>
          <w:tcPr>
            <w:tcW w:type="dxa" w:w="3400"/>
            <w:vAlign w:val="top"/>
          </w:tcPr>
          <w:p>
            <w:r>
              <w:t>Oui</w:t>
            </w:r>
          </w:p>
        </w:tc>
        <w:tc>
          <w:tcPr>
            <w:tcW w:type="dxa" w:w="3400"/>
            <w:vAlign w:val="top"/>
          </w:tcPr>
          <w:p>
            <w:r>
              <w:t>Dernier jour de création inclus.</w:t>
            </w:r>
          </w:p>
        </w:tc>
      </w:tr>
      <w:tr>
        <w:trPr>
          <w:cantSplit/>
        </w:trPr>
        <w:tc>
          <w:tcPr>
            <w:tcW w:type="dxa" w:w="3400"/>
            <w:vAlign w:val="top"/>
          </w:tcPr>
          <w:p>
            <w:r>
              <w:t>--output-dir</w:t>
            </w:r>
          </w:p>
        </w:tc>
        <w:tc>
          <w:tcPr>
            <w:tcW w:type="dxa" w:w="3400"/>
            <w:vAlign w:val="top"/>
          </w:tcPr>
          <w:p>
            <w:r>
              <w:t>Oui</w:t>
            </w:r>
          </w:p>
        </w:tc>
        <w:tc>
          <w:tcPr>
            <w:tcW w:type="dxa" w:w="3400"/>
            <w:vAlign w:val="top"/>
          </w:tcPr>
          <w:p>
            <w:r>
              <w:t>Dossier recevant les trois sorties.</w:t>
            </w:r>
          </w:p>
        </w:tc>
      </w:tr>
      <w:tr>
        <w:trPr>
          <w:cantSplit/>
        </w:trPr>
        <w:tc>
          <w:tcPr>
            <w:tcW w:type="dxa" w:w="3400"/>
            <w:vAlign w:val="top"/>
          </w:tcPr>
          <w:p>
            <w:r>
              <w:t>--schema</w:t>
            </w:r>
          </w:p>
        </w:tc>
        <w:tc>
          <w:tcPr>
            <w:tcW w:type="dxa" w:w="3400"/>
            <w:vAlign w:val="top"/>
          </w:tcPr>
          <w:p>
            <w:r>
              <w:t>Non</w:t>
            </w:r>
          </w:p>
        </w:tc>
        <w:tc>
          <w:tcPr>
            <w:tcW w:type="dxa" w:w="3400"/>
            <w:vAlign w:val="top"/>
          </w:tcPr>
          <w:p>
            <w:r>
              <w:t>Spécification TSV; config/characteristics.tsv par défaut.</w:t>
            </w:r>
          </w:p>
        </w:tc>
      </w:tr>
      <w:tr>
        <w:trPr>
          <w:cantSplit/>
        </w:trPr>
        <w:tc>
          <w:tcPr>
            <w:tcW w:type="dxa" w:w="3400"/>
            <w:vAlign w:val="top"/>
          </w:tcPr>
          <w:p>
            <w:r>
              <w:t>--limit</w:t>
            </w:r>
          </w:p>
        </w:tc>
        <w:tc>
          <w:tcPr>
            <w:tcW w:type="dxa" w:w="3400"/>
            <w:vAlign w:val="top"/>
          </w:tcPr>
          <w:p>
            <w:r>
              <w:t>Non</w:t>
            </w:r>
          </w:p>
        </w:tc>
        <w:tc>
          <w:tcPr>
            <w:tcW w:type="dxa" w:w="3400"/>
            <w:vAlign w:val="top"/>
          </w:tcPr>
          <w:p>
            <w:r>
              <w:t>Nombre positif de premières questions chronologiques.</w:t>
            </w:r>
          </w:p>
        </w:tc>
      </w:tr>
      <w:tr>
        <w:trPr>
          <w:cantSplit/>
        </w:trPr>
        <w:tc>
          <w:tcPr>
            <w:tcW w:type="dxa" w:w="3400"/>
            <w:vAlign w:val="top"/>
          </w:tcPr>
          <w:p>
            <w:r>
              <w:t>--overwrite</w:t>
            </w:r>
          </w:p>
        </w:tc>
        <w:tc>
          <w:tcPr>
            <w:tcW w:type="dxa" w:w="3400"/>
            <w:vAlign w:val="top"/>
          </w:tcPr>
          <w:p>
            <w:r>
              <w:t>Non</w:t>
            </w:r>
          </w:p>
        </w:tc>
        <w:tc>
          <w:tcPr>
            <w:tcW w:type="dxa" w:w="3400"/>
            <w:vAlign w:val="top"/>
          </w:tcPr>
          <w:p>
            <w:r>
              <w:t>Autorise le remplacement des trois sorties canoniques.</w:t>
            </w:r>
          </w:p>
        </w:tc>
      </w:tr>
    </w:tbl>
    <w:p>
      <w:pPr>
        <w:pStyle w:val="Heading1"/>
      </w:pPr>
      <w:r>
        <w:t>Sorties du constructeur</w:t>
      </w:r>
    </w:p>
    <w:tbl>
      <w:tblPr>
        <w:tblStyle w:val="TableGrid"/>
        <w:tblW w:type="auto" w:w="0"/>
        <w:tblLayout w:type="autofit"/>
        <w:tblLook w:firstColumn="1" w:firstRow="1" w:lastColumn="0" w:lastRow="0" w:noHBand="0" w:noVBand="1" w:val="04A0"/>
      </w:tblPr>
      <w:tblGrid>
        <w:gridCol w:w="3400"/>
        <w:gridCol w:w="3400"/>
        <w:gridCol w:w="3400"/>
      </w:tblGrid>
      <w:tr>
        <w:trPr>
          <w:tblHeader w:val="true"/>
          <w:cantSplit/>
        </w:trPr>
        <w:tc>
          <w:tcPr>
            <w:tcW w:type="dxa" w:w="3400"/>
            <w:shd w:fill="1F4E78"/>
            <w:vAlign w:val="center"/>
          </w:tcPr>
          <w:p>
            <w:r>
              <w:rPr>
                <w:b/>
                <w:color w:val="FFFFFF"/>
              </w:rPr>
              <w:t>Fichier</w:t>
            </w:r>
          </w:p>
        </w:tc>
        <w:tc>
          <w:tcPr>
            <w:tcW w:type="dxa" w:w="3400"/>
            <w:shd w:fill="1F4E78"/>
            <w:vAlign w:val="center"/>
          </w:tcPr>
          <w:p>
            <w:r>
              <w:rPr>
                <w:b/>
                <w:color w:val="FFFFFF"/>
              </w:rPr>
              <w:t>Format</w:t>
            </w:r>
          </w:p>
        </w:tc>
        <w:tc>
          <w:tcPr>
            <w:tcW w:type="dxa" w:w="3400"/>
            <w:shd w:fill="1F4E78"/>
            <w:vAlign w:val="center"/>
          </w:tcPr>
          <w:p>
            <w:r>
              <w:rPr>
                <w:b/>
                <w:color w:val="FFFFFF"/>
              </w:rPr>
              <w:t>Contrat</w:t>
            </w:r>
          </w:p>
        </w:tc>
      </w:tr>
      <w:tr>
        <w:trPr>
          <w:cantSplit/>
        </w:trPr>
        <w:tc>
          <w:tcPr>
            <w:tcW w:type="dxa" w:w="3400"/>
            <w:vAlign w:val="top"/>
          </w:tcPr>
          <w:p>
            <w:r>
              <w:t>thread_characteristics.tsv</w:t>
            </w:r>
          </w:p>
        </w:tc>
        <w:tc>
          <w:tcPr>
            <w:tcW w:type="dxa" w:w="3400"/>
            <w:vAlign w:val="top"/>
          </w:tcPr>
          <w:p>
            <w:r>
              <w:t>TSV UTF-8</w:t>
            </w:r>
          </w:p>
        </w:tc>
        <w:tc>
          <w:tcPr>
            <w:tcW w:type="dxa" w:w="3400"/>
            <w:vAlign w:val="top"/>
          </w:tcPr>
          <w:p>
            <w:r>
              <w:t>Une ligne par question; ordre et définition des colonnes dans characteristics.tsv.</w:t>
            </w:r>
          </w:p>
        </w:tc>
      </w:tr>
      <w:tr>
        <w:trPr>
          <w:cantSplit/>
        </w:trPr>
        <w:tc>
          <w:tcPr>
            <w:tcW w:type="dxa" w:w="3400"/>
            <w:vAlign w:val="top"/>
          </w:tcPr>
          <w:p>
            <w:r>
              <w:t>validation.tsv</w:t>
            </w:r>
          </w:p>
        </w:tc>
        <w:tc>
          <w:tcPr>
            <w:tcW w:type="dxa" w:w="3400"/>
            <w:vAlign w:val="top"/>
          </w:tcPr>
          <w:p>
            <w:r>
              <w:t>TSV UTF-8</w:t>
            </w:r>
          </w:p>
        </w:tc>
        <w:tc>
          <w:tcPr>
            <w:tcW w:type="dxa" w:w="3400"/>
            <w:vAlign w:val="top"/>
          </w:tcPr>
          <w:p>
            <w:r>
              <w:t>Contrôles PASS, avertissements WARN et absence de publication pour un échec interne.</w:t>
            </w:r>
          </w:p>
        </w:tc>
      </w:tr>
      <w:tr>
        <w:trPr>
          <w:cantSplit/>
        </w:trPr>
        <w:tc>
          <w:tcPr>
            <w:tcW w:type="dxa" w:w="3400"/>
            <w:vAlign w:val="top"/>
          </w:tcPr>
          <w:p>
            <w:r>
              <w:t>run_metadata.json</w:t>
            </w:r>
          </w:p>
        </w:tc>
        <w:tc>
          <w:tcPr>
            <w:tcW w:type="dxa" w:w="3400"/>
            <w:vAlign w:val="top"/>
          </w:tcPr>
          <w:p>
            <w:r>
              <w:t>JSON UTF-8</w:t>
            </w:r>
          </w:p>
        </w:tc>
        <w:tc>
          <w:tcPr>
            <w:tcW w:type="dxa" w:w="3400"/>
            <w:vAlign w:val="top"/>
          </w:tcPr>
          <w:p>
            <w:r>
              <w:t>Provenance, période, fichiers sources, versions et durée d’exécution.</w:t>
            </w:r>
          </w:p>
        </w:tc>
      </w:tr>
    </w:tbl>
    <w:p>
      <w:pPr>
        <w:pStyle w:val="Heading1"/>
      </w:pPr>
      <w:r>
        <w:t>Règles de validation communes</w:t>
      </w:r>
    </w:p>
    <w:p>
      <w:pPr>
        <w:pStyle w:val="ListBullet"/>
      </w:pPr>
      <w:r>
        <w:t>Les identifiants sont des entiers décimaux strictement positifs.</w:t>
      </w:r>
    </w:p>
    <w:p>
      <w:pPr>
        <w:pStyle w:val="ListBullet"/>
      </w:pPr>
      <w:r>
        <w:t>Les dates suivent YYYY-MM-DDTHH:MM:SS avec une fraction facultative.</w:t>
      </w:r>
    </w:p>
    <w:p>
      <w:pPr>
        <w:pStyle w:val="ListBullet"/>
      </w:pPr>
      <w:r>
        <w:t>Les fractions de seconde complètes déterminent l’ordre chronologique.</w:t>
      </w:r>
    </w:p>
    <w:p>
      <w:pPr>
        <w:pStyle w:val="ListBullet"/>
      </w:pPr>
      <w:r>
        <w:t>L’identifiant numérique départage deux événements au même instant.</w:t>
      </w:r>
    </w:p>
    <w:p>
      <w:pPr>
        <w:pStyle w:val="ListBullet"/>
      </w:pPr>
      <w:r>
        <w:t>La lecture XML est progressive afin de limiter la mémoire.</w:t>
      </w:r>
    </w:p>
    <w:p>
      <w:pPr>
        <w:pStyle w:val="ListBullet"/>
      </w:pPr>
      <w:r>
        <w:t>L’écriture passe par un fichier temporaire publié après réussite.</w:t>
      </w:r>
    </w:p>
    <w:p>
      <w:pPr>
        <w:pStyle w:val="Heading1"/>
      </w:pPr>
      <w:r>
        <w:t>Dictionnaire de données</w:t>
      </w:r>
    </w:p>
    <w:p>
      <w:r>
        <w:t>docs/reference/data-dictionary.xlsx est la version lisible avec filtres et couleurs. config/characteristics.tsv est la source versionnée utilisée par le programme. Chaque ligne précise le type de calcul, la disponibilité temporelle, la source, la définition, la méthode, la lecture et le sens d’une valeur vide.</w:t>
      </w:r>
    </w:p>
    <w:p>
      <w:pPr>
        <w:pStyle w:val="Heading1"/>
      </w:pPr>
      <w:r>
        <w:t>Codes de sortie</w:t>
      </w:r>
    </w:p>
    <w:tbl>
      <w:tblPr>
        <w:tblStyle w:val="TableGrid"/>
        <w:tblW w:type="auto" w:w="0"/>
        <w:tblLayout w:type="autofit"/>
        <w:tblLook w:firstColumn="1" w:firstRow="1" w:lastColumn="0" w:lastRow="0" w:noHBand="0" w:noVBand="1" w:val="04A0"/>
      </w:tblPr>
      <w:tblGrid>
        <w:gridCol w:w="5100"/>
        <w:gridCol w:w="5100"/>
      </w:tblGrid>
      <w:tr>
        <w:trPr>
          <w:tblHeader w:val="true"/>
          <w:cantSplit/>
        </w:trPr>
        <w:tc>
          <w:tcPr>
            <w:tcW w:type="dxa" w:w="5100"/>
            <w:shd w:fill="1F4E78"/>
            <w:vAlign w:val="center"/>
          </w:tcPr>
          <w:p>
            <w:r>
              <w:rPr>
                <w:b/>
                <w:color w:val="FFFFFF"/>
              </w:rPr>
              <w:t>Code</w:t>
            </w:r>
          </w:p>
        </w:tc>
        <w:tc>
          <w:tcPr>
            <w:tcW w:type="dxa" w:w="5100"/>
            <w:shd w:fill="1F4E78"/>
            <w:vAlign w:val="center"/>
          </w:tcPr>
          <w:p>
            <w:r>
              <w:rPr>
                <w:b/>
                <w:color w:val="FFFFFF"/>
              </w:rPr>
              <w:t>Sens</w:t>
            </w:r>
          </w:p>
        </w:tc>
      </w:tr>
      <w:tr>
        <w:trPr>
          <w:cantSplit/>
        </w:trPr>
        <w:tc>
          <w:tcPr>
            <w:tcW w:type="dxa" w:w="5100"/>
            <w:vAlign w:val="top"/>
          </w:tcPr>
          <w:p>
            <w:r>
              <w:t>0</w:t>
            </w:r>
          </w:p>
        </w:tc>
        <w:tc>
          <w:tcPr>
            <w:tcW w:type="dxa" w:w="5100"/>
            <w:vAlign w:val="top"/>
          </w:tcPr>
          <w:p>
            <w:r>
              <w:t>Commande terminée et sorties publiées.</w:t>
            </w:r>
          </w:p>
        </w:tc>
      </w:tr>
      <w:tr>
        <w:trPr>
          <w:cantSplit/>
        </w:trPr>
        <w:tc>
          <w:tcPr>
            <w:tcW w:type="dxa" w:w="5100"/>
            <w:vAlign w:val="top"/>
          </w:tcPr>
          <w:p>
            <w:r>
              <w:t>1</w:t>
            </w:r>
          </w:p>
        </w:tc>
        <w:tc>
          <w:tcPr>
            <w:tcW w:type="dxa" w:w="5100"/>
            <w:vAlign w:val="top"/>
          </w:tcPr>
          <w:p>
            <w:r>
              <w:t>Erreur de fichier, de valeur, de XML ou de protection de sortie; message envoyé sur la sortie d’erreur.</w:t>
            </w:r>
          </w:p>
        </w:tc>
      </w:tr>
    </w:tbl>
    <w:p>
      <w:pPr>
        <w:spacing w:before="160" w:after="0"/>
      </w:pPr>
      <w:r/>
      <w:r>
        <w:rPr>
          <w:b/>
        </w:rPr>
        <w:t xml:space="preserve">Versions compatibles. </w:t>
      </w:r>
      <w:r>
        <w:t>Python 3.10+ et les contraintes déclarées dans requirements.txt. Le notebook utilise pandas, Matplotlib et scipy.stats.false_discovery_control.</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 Stack Exchange difficulté humain–modèle — Référence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