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1.2 | Sprint 17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resolve bounded same-origin external references, review counts, and explicitly select operations.</w:t>
      </w:r>
    </w:p>
    <w:p>
      <w:pPr>
        <w:pStyle w:val="ListBullet"/>
        <w:spacing w:after="80"/>
        <w:ind w:left="540" w:hanging="271"/>
      </w:pPr>
      <w:r>
        <w:t>Run and cancel individual requests, inspect formatted responses, and export redacted diagnostics with a request inventory.</w:t>
      </w:r>
    </w:p>
    <w:p>
      <w:pPr>
        <w:pStyle w:val="ListBullet"/>
        <w:spacing w:after="80"/>
        <w:ind w:left="540" w:hanging="271"/>
      </w:pPr>
      <w:r>
        <w:t>Compose visual flows with dependency edges, failure branches, variable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Rust reads enabled file paths only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w:t>
      </w:r>
    </w:p>
    <w:p>
      <w:pPr>
        <w:pStyle w:val="ListBullet"/>
        <w:spacing w:after="80"/>
        <w:ind w:left="540" w:hanging="271"/>
      </w:pPr>
      <w:r>
        <w:t>Schema validation occurs before project data enters the application.</w:t>
      </w:r>
    </w:p>
    <w:p>
      <w:pPr>
        <w:pStyle w:val="ListBullet"/>
        <w:spacing w:after="80"/>
        <w:ind w:left="540" w:hanging="271"/>
      </w:pPr>
      <w:r>
        <w:t>Persistence and export redact sensitive values.</w:t>
      </w:r>
    </w:p>
    <w:p>
      <w:pPr>
        <w:pStyle w:val="ListBullet"/>
        <w:spacing w:after="80"/>
        <w:ind w:left="540" w:hanging="271"/>
      </w:pPr>
      <w:r>
        <w:t>Unknown or invalid schema shapes produce recovery guidance.</w:t>
      </w:r>
    </w:p>
    <w:p>
      <w:pPr>
        <w:pStyle w:val="ListBullet"/>
        <w:spacing w:after="80"/>
        <w:ind w:left="540" w:hanging="271"/>
      </w:pPr>
      <w:r>
        <w:t>Concurrent saves and partial native writes are guarded.</w:t>
      </w:r>
    </w:p>
    <w:p>
      <w:pPr>
        <w:pStyle w:val="Heading1"/>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Mappings use explicit JSONPath and named variables.</w:t>
      </w:r>
    </w:p>
    <w:p>
      <w:pPr>
        <w:pStyle w:val="Heading1"/>
      </w:pPr>
      <w:r>
        <w:t>OpenAPI Import</w:t>
      </w:r>
    </w:p>
    <w:p>
      <w:r>
        <w:t>The importer treats supplied URLs, documents, and references as untrusted. It discovers definition URLs from Swagger UI pages, supports Swagger 2.0 and OpenAPI 3.x documents, resolves bounded same-origin external references, previews review metrics and operations, and converts only explicitly selected services.</w:t>
      </w:r>
    </w:p>
    <w:p>
      <w:pPr>
        <w:pStyle w:val="ListBullet"/>
        <w:spacing w:after="80"/>
        <w:ind w:left="540" w:hanging="271"/>
      </w:pPr>
      <w:r>
        <w:t>The project is unchanged until confirmation.</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Pr>
      <w:r>
        <w:t>Persistence and Recovery</w:t>
      </w:r>
    </w:p>
    <w:p>
      <w:r>
        <w:t>Browser-mode persistence supports automated UI workflows. Native persistence adds platform file dialogs, atomic replacement, recovery backups, native recent-project paths, and packaged behavior. Saved responses are separate redacted artifacts referenced by metadata in the project.</w:t>
      </w:r>
    </w:p>
    <w:p>
      <w:pPr>
        <w:pStyle w:val="Heading1"/>
      </w:pPr>
      <w:r>
        <w:t>Security Architecture</w:t>
      </w:r>
    </w:p>
    <w:p>
      <w:pPr>
        <w:pStyle w:val="ListBullet"/>
        <w:spacing w:after="80"/>
        <w:ind w:left="540" w:hanging="271"/>
      </w:pPr>
      <w:r>
        <w:t>Restrictive Tauri CSP and reviewed capability set.</w:t>
      </w:r>
    </w:p>
    <w:p>
      <w:pPr>
        <w:pStyle w:val="ListBullet"/>
        <w:spacing w:after="80"/>
        <w:ind w:left="540" w:hanging="271"/>
      </w:pPr>
      <w:r>
        <w:t>Central redaction for console, diagnostics, persistence, export, and snapshots.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