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1.2 | Sprint 17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invalid schema data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kind, local path, and per-file media type persist.</w:t>
      </w:r>
    </w:p>
    <w:p>
      <w:pPr>
        <w:pStyle w:val="ListBullet"/>
        <w:spacing w:after="80"/>
        <w:ind w:left="540" w:hanging="271"/>
      </w:pPr>
      <w:r>
        <w:t>Send a controlled native multipart request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Assign a synthetic local file, save/reopen, send in desktop mode, and inspect the receiver;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invalid URL/document, zero-selection, duplicate-operation, credential-like example, example local-path, cross-origin, circular, malformed, unreachable, over-depth, and excessive-document cases.</w:t>
      </w:r>
    </w:p>
    <w:p>
      <w:pPr>
        <w:pStyle w:val="Heading1"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responses, verify redaction, reopen the artifact, and handle missing/permission-denied paths.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the JSON directly for bearer tokens, passwords, API keys, cookies, client secrets,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