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jc w:val="center"/>
      </w:pPr>
      <w:r>
        <w:t>RELAY STUDIO</w:t>
      </w:r>
    </w:p>
    <w:p/>
    <w:p/>
    <w:p/>
    <w:p/>
    <w:p>
      <w:pPr>
        <w:pStyle w:val="Title"/>
        <w:jc w:val="center"/>
      </w:pPr>
      <w:r>
        <w:t>Relay Studio Security, Platform, and Release Manual</w:t>
      </w:r>
    </w:p>
    <w:p>
      <w:pPr>
        <w:pStyle w:val="Subtitle"/>
        <w:jc w:val="center"/>
      </w:pPr>
      <w:r>
        <w:t>Trust boundaries, redaction, audits, packaging, and release decisions</w:t>
      </w:r>
    </w:p>
    <w:p/>
    <w:p>
      <w:pPr>
        <w:jc w:val="center"/>
      </w:pPr>
      <w:r>
        <w:rPr>
          <w:color w:val="5F6B7A"/>
        </w:rPr>
        <w:t>Audience: Maintainers, security reviewers, QA, and product leadership</w:t>
      </w:r>
    </w:p>
    <w:p>
      <w:pPr>
        <w:jc w:val="center"/>
      </w:pPr>
      <w:r>
        <w:rPr>
          <w:color w:val="5F6B7A"/>
        </w:rPr>
        <w:t>Version 1.8 | Sprint 18D | July 2026</w:t>
      </w:r>
    </w:p>
    <w:p>
      <w:r>
        <w:br w:type="page"/>
      </w:r>
    </w:p>
    <w:p>
      <w:pPr>
        <w:spacing w:before="120" w:after="160"/>
        <w:ind w:left="259" w:right="259"/>
        <w:shd w:fill="E8EEF5"/>
      </w:pPr>
      <w:r>
        <w:rPr>
          <w:b/>
          <w:color w:val="0B2545"/>
        </w:rPr>
        <w:t xml:space="preserve">How to use this guide: </w:t>
      </w:r>
      <w:r>
        <w:t>Treat this manual and the retained Markdown security directives together: the Markdown policies control implementation; this manual explains their system and release context.</w:t>
      </w:r>
    </w:p>
    <w:p>
      <w:pPr>
        <w:pStyle w:val="Heading1"/>
      </w:pPr>
      <w:r>
        <w:t>Contents</w:t>
      </w:r>
    </w:p>
    <w:p>
      <w:pPr>
        <w:pStyle w:val="ListBullet"/>
        <w:spacing w:after="80"/>
        <w:ind w:left="540" w:hanging="271"/>
      </w:pPr>
      <w:r>
        <w:t>Security Posture</w:t>
      </w:r>
    </w:p>
    <w:p>
      <w:pPr>
        <w:pStyle w:val="ListBullet"/>
        <w:spacing w:after="80"/>
        <w:ind w:left="540" w:hanging="271"/>
      </w:pPr>
      <w:r>
        <w:t>Secret Classification and Redaction</w:t>
      </w:r>
    </w:p>
    <w:p>
      <w:pPr>
        <w:pStyle w:val="ListBullet"/>
        <w:spacing w:after="80"/>
        <w:ind w:left="540" w:hanging="271"/>
      </w:pPr>
      <w:r>
        <w:t>Tauri Boundary</w:t>
      </w:r>
    </w:p>
    <w:p>
      <w:pPr>
        <w:pStyle w:val="ListBullet"/>
        <w:spacing w:after="80"/>
        <w:ind w:left="540" w:hanging="271"/>
      </w:pPr>
      <w:r>
        <w:t>Dependency and Supply Chain</w:t>
      </w:r>
    </w:p>
    <w:p>
      <w:pPr>
        <w:pStyle w:val="ListBullet"/>
        <w:spacing w:after="80"/>
        <w:ind w:left="540" w:hanging="271"/>
      </w:pPr>
      <w:r>
        <w:t>CI and Release Policy</w:t>
      </w:r>
    </w:p>
    <w:p>
      <w:pPr>
        <w:pStyle w:val="ListBullet"/>
        <w:spacing w:after="80"/>
        <w:ind w:left="540" w:hanging="271"/>
      </w:pPr>
      <w:r>
        <w:t>Platform Packaging</w:t>
      </w:r>
    </w:p>
    <w:p>
      <w:pPr>
        <w:pStyle w:val="ListBullet"/>
        <w:spacing w:after="80"/>
        <w:ind w:left="540" w:hanging="271"/>
      </w:pPr>
      <w:r>
        <w:t>Platform Audit Summary</w:t>
      </w:r>
    </w:p>
    <w:p>
      <w:pPr>
        <w:pStyle w:val="ListBullet"/>
        <w:spacing w:after="80"/>
        <w:ind w:left="540" w:hanging="271"/>
      </w:pPr>
      <w:r>
        <w:t>Incident and Diagnostics Handling</w:t>
      </w:r>
    </w:p>
    <w:p>
      <w:pPr>
        <w:pStyle w:val="ListBullet"/>
        <w:spacing w:after="80"/>
        <w:ind w:left="540" w:hanging="271"/>
      </w:pPr>
      <w:r>
        <w:t>Known Risks and Deferrals</w:t>
      </w:r>
    </w:p>
    <w:p>
      <w:pPr>
        <w:pStyle w:val="ListBullet"/>
        <w:spacing w:after="80"/>
        <w:ind w:left="540" w:hanging="271"/>
      </w:pPr>
      <w:r>
        <w:t>Release Checklist</w:t>
      </w:r>
    </w:p>
    <w:p>
      <w:pPr>
        <w:pStyle w:val="Heading1"/>
        <w:pageBreakBefore w:val="0"/>
      </w:pPr>
      <w:r>
        <w:t>Security Posture</w:t>
      </w:r>
    </w:p>
    <w:p>
      <w:r>
        <w:t>Relay Studio reduces hosted-data exposure by remaining local-first, but it processes credentials, arbitrary URLs, imported definitions, project files, and response data. The primary risks are secret leakage, over-broad native capability, unsafe persistence, malicious/unexpected input, and misleading release evidence.</w:t>
      </w:r>
    </w:p>
    <w:p>
      <w:pPr>
        <w:pStyle w:val="Heading1"/>
        <w:pageBreakBefore w:val="0"/>
      </w:pPr>
      <w:r>
        <w:t>Secret Classification and Redaction</w:t>
      </w:r>
    </w:p>
    <w:p>
      <w:pPr>
        <w:pStyle w:val="ListBullet"/>
        <w:spacing w:after="80"/>
        <w:ind w:left="540" w:hanging="271"/>
      </w:pPr>
      <w:r>
        <w:t>Bearer and OAuth tokens, passwords, API keys across case/underscore/hyphen variants, cookies, client secrets, custom auth headers, URL userinfo, sensitive query values, credential-shaped response captures, and secret-marked variables are sensitive.</w:t>
      </w:r>
    </w:p>
    <w:p>
      <w:pPr>
        <w:pStyle w:val="ListBullet"/>
        <w:spacing w:after="80"/>
        <w:ind w:left="540" w:hanging="271"/>
      </w:pPr>
      <w:r>
        <w:t>Apply canonical redaction to console events, diagnostics, project export/persistence, saved responses, comparison, screenshots/fixtures, normalized errors, and snapshots before output is marked redacted.</w:t>
      </w:r>
    </w:p>
    <w:p>
      <w:pPr>
        <w:pStyle w:val="ListBullet"/>
        <w:spacing w:after="80"/>
        <w:ind w:left="540" w:hanging="271"/>
      </w:pPr>
      <w:r>
        <w:t>Preserve useful names, origins, non-sensitive query values, and structure while replacing the credential value consistently.</w:t>
      </w:r>
    </w:p>
    <w:p>
      <w:pPr>
        <w:pStyle w:val="ListBullet"/>
        <w:spacing w:after="80"/>
        <w:ind w:left="540" w:hanging="271"/>
      </w:pPr>
      <w:r>
        <w:t>Never trust a persisted redacted flag without reapplying canonical redaction.</w:t>
      </w:r>
    </w:p>
    <w:p>
      <w:pPr>
        <w:pStyle w:val="ListBullet"/>
        <w:spacing w:after="80"/>
        <w:ind w:left="540" w:hanging="271"/>
      </w:pPr>
      <w:r>
        <w:t>Never log a secret before redaction and never use real credentials in tests.</w:t>
      </w:r>
    </w:p>
    <w:p>
      <w:pPr>
        <w:pStyle w:val="Heading1"/>
        <w:pageBreakBefore w:val="0"/>
      </w:pPr>
      <w:r>
        <w:t>Tauri Boundary</w:t>
      </w:r>
    </w:p>
    <w:p>
      <w:pPr>
        <w:pStyle w:val="ListBullet"/>
        <w:spacing w:after="80"/>
        <w:ind w:left="540" w:hanging="271"/>
      </w:pPr>
      <w:r>
        <w:t>Restrictive CSP with object execution disabled and explicit script/connect sources.</w:t>
      </w:r>
    </w:p>
    <w:p>
      <w:pPr>
        <w:pStyle w:val="ListBullet"/>
        <w:spacing w:after="80"/>
        <w:ind w:left="540" w:hanging="271"/>
      </w:pPr>
      <w:r>
        <w:t>Reviewed capability file and registered commands only.</w:t>
      </w:r>
    </w:p>
    <w:p>
      <w:pPr>
        <w:pStyle w:val="ListBullet"/>
        <w:spacing w:after="80"/>
        <w:ind w:left="540" w:hanging="271"/>
      </w:pPr>
      <w:r>
        <w:t>Atomic writes, backups, and full nested schema validation for project persistence.</w:t>
      </w:r>
    </w:p>
    <w:p>
      <w:pPr>
        <w:pStyle w:val="ListBullet"/>
        <w:spacing w:after="80"/>
        <w:ind w:left="540" w:hanging="271"/>
      </w:pPr>
      <w:r>
        <w:t>Project save clears multipart paths; current-session approval binds service, field, path, and destination origin before native file access.</w:t>
      </w:r>
    </w:p>
    <w:p>
      <w:pPr>
        <w:pStyle w:val="ListBullet"/>
        <w:spacing w:after="80"/>
        <w:ind w:left="540" w:hanging="271"/>
      </w:pPr>
      <w:r>
        <w:t>Saved response commands require validated self-describing envelopes and matching embedded/requested paths; arbitrary raw `.txt` files never receive trusted caller metadata.</w:t>
      </w:r>
    </w:p>
    <w:p>
      <w:pPr>
        <w:pStyle w:val="ListBullet"/>
        <w:spacing w:after="80"/>
        <w:ind w:left="540" w:hanging="271"/>
      </w:pPr>
      <w:r>
        <w:t>Native HTTP follows only same-origin redirects, rejects cross-origin replay before headers can move, returns final identity, and stops redirect loops after 10 requests.</w:t>
      </w:r>
    </w:p>
    <w:p>
      <w:pPr>
        <w:pStyle w:val="ListBullet"/>
        <w:spacing w:after="80"/>
        <w:ind w:left="540" w:hanging="271"/>
      </w:pPr>
      <w:r>
        <w:t>Browser development mode uses manual Fetch redirects and rejects every redirect before replay; developers enter the final URL explicitly or use desktop mode for validated same-origin redirects.</w:t>
      </w:r>
    </w:p>
    <w:p>
      <w:pPr>
        <w:pStyle w:val="ListBullet"/>
        <w:spacing w:after="80"/>
        <w:ind w:left="540" w:hanging="271"/>
      </w:pPr>
      <w:r>
        <w:t>Configured proxies apply a validated bypass list instead of silently ignoring it.</w:t>
      </w:r>
    </w:p>
    <w:p>
      <w:pPr>
        <w:pStyle w:val="ListBullet"/>
        <w:spacing w:after="80"/>
        <w:ind w:left="540" w:hanging="271"/>
      </w:pPr>
      <w:r>
        <w:t>Re-review when adding commands, plugins, filesystem scope, remote content, updater behavior, or shell execution.</w:t>
      </w:r>
    </w:p>
    <w:p>
      <w:pPr>
        <w:pStyle w:val="Heading1"/>
        <w:pageBreakBefore w:val="0"/>
      </w:pPr>
      <w:r>
        <w:t>Dependency and Supply Chain</w:t>
      </w:r>
    </w:p>
    <w:p>
      <w:pPr>
        <w:pStyle w:val="ListBullet"/>
        <w:spacing w:after="80"/>
        <w:ind w:left="540" w:hanging="271"/>
      </w:pPr>
      <w:r>
        <w:t>npm audit blocks high-severity advisories.</w:t>
      </w:r>
    </w:p>
    <w:p>
      <w:pPr>
        <w:pStyle w:val="ListBullet"/>
        <w:spacing w:after="80"/>
        <w:ind w:left="540" w:hanging="271"/>
      </w:pPr>
      <w:r>
        <w:t>cargo-deny checks RustSec advisories, bans, sources, and licenses.</w:t>
      </w:r>
    </w:p>
    <w:p>
      <w:pPr>
        <w:pStyle w:val="ListBullet"/>
        <w:spacing w:after="80"/>
        <w:ind w:left="540" w:hanging="271"/>
      </w:pPr>
      <w:r>
        <w:t>The npm license script enforces the approved policy.</w:t>
      </w:r>
    </w:p>
    <w:p>
      <w:pPr>
        <w:pStyle w:val="ListBullet"/>
        <w:spacing w:after="80"/>
        <w:ind w:left="540" w:hanging="271"/>
      </w:pPr>
      <w:r>
        <w:t>Gitleaks and the project scanner cover repository and generated bundle paths.</w:t>
      </w:r>
    </w:p>
    <w:p>
      <w:pPr>
        <w:pStyle w:val="ListBullet"/>
        <w:spacing w:after="80"/>
        <w:ind w:left="540" w:hanging="271"/>
      </w:pPr>
      <w:r>
        <w:t>Dependency metadata may be sent to npmjs.org, crates.io, and RustSec; source code and secrets may not.</w:t>
      </w:r>
    </w:p>
    <w:p>
      <w:pPr>
        <w:pStyle w:val="Heading1"/>
        <w:pageBreakBefore w:val="0"/>
      </w:pPr>
      <w:r>
        <w:t>CI and Release Policy</w:t>
      </w:r>
    </w:p>
    <w:p>
      <w:r>
        <w:t>PR and main Release Gates run deterministic quality and security validation. When live REST configuration is missing they report the omission without making ordinary CI permanently red. Beta-tag and manual Package Beta runs require the protected live configuration and complete acceptance before the platform matrix starts.</w:t>
      </w:r>
    </w:p>
    <w:p>
      <w:pPr>
        <w:pStyle w:val="ListBullet"/>
        <w:spacing w:after="80"/>
        <w:ind w:left="540" w:hanging="271"/>
      </w:pPr>
      <w:r>
        <w:t>Protected configuration is base64-decoded only into the runner temporary directory.</w:t>
      </w:r>
    </w:p>
    <w:p>
      <w:pPr>
        <w:pStyle w:val="ListBullet"/>
        <w:spacing w:after="80"/>
        <w:ind w:left="540" w:hanging="271"/>
      </w:pPr>
      <w:r>
        <w:t>Do not print, artifact, or cache the decoded file.</w:t>
      </w:r>
    </w:p>
    <w:p>
      <w:pPr>
        <w:pStyle w:val="ListBullet"/>
        <w:spacing w:after="80"/>
        <w:ind w:left="540" w:hanging="271"/>
      </w:pPr>
      <w:r>
        <w:t>Artifacts are unsigned developer betas retained for a bounded period.</w:t>
      </w:r>
    </w:p>
    <w:p>
      <w:pPr>
        <w:pStyle w:val="ListBullet"/>
        <w:spacing w:after="80"/>
        <w:ind w:left="540" w:hanging="271"/>
      </w:pPr>
      <w:r>
        <w:t>Signing/notarization deferral is intentional and visible in release notes.</w:t>
      </w:r>
    </w:p>
    <w:p>
      <w:pPr>
        <w:pStyle w:val="Heading1"/>
        <w:pageBreakBefore w:val="0"/>
      </w:pPr>
      <w:r>
        <w:t>Platform Packaging</w:t>
      </w:r>
    </w:p>
    <w:p>
      <w:pPr>
        <w:pStyle w:val="ListBullet"/>
        <w:spacing w:after="80"/>
        <w:ind w:left="540" w:hanging="271"/>
      </w:pPr>
      <w:r>
        <w:t>macOS: DMG, native menus, file dialogs, close protection, offline Help, unsigned warning expectations.</w:t>
      </w:r>
    </w:p>
    <w:p>
      <w:pPr>
        <w:pStyle w:val="ListBullet"/>
        <w:spacing w:after="80"/>
        <w:ind w:left="540" w:hanging="271"/>
      </w:pPr>
      <w:r>
        <w:t>Windows: NSIS and MSI, title/caption behavior, WebView2, high contrast, multi-monitor, native paths, and unsigned warning expectations.</w:t>
      </w:r>
    </w:p>
    <w:p>
      <w:pPr>
        <w:pStyle w:val="ListBullet"/>
        <w:spacing w:after="80"/>
        <w:ind w:left="540" w:hanging="271"/>
      </w:pPr>
      <w:r>
        <w:t>Linux: DEB and AppImage, WebKitGTK dependencies, native paths, and permission handling.</w:t>
      </w:r>
    </w:p>
    <w:p>
      <w:pPr>
        <w:pStyle w:val="ListBullet"/>
        <w:spacing w:after="80"/>
        <w:ind w:left="540" w:hanging="271"/>
      </w:pPr>
      <w:r>
        <w:t>Every packaging change requires installer reconstruction and packaged-app smoke testing.</w:t>
      </w:r>
    </w:p>
    <w:p>
      <w:pPr>
        <w:pStyle w:val="Heading1"/>
        <w:pageBreakBefore w:val="0"/>
      </w:pPr>
      <w:r>
        <w:t>Platform Audit Summary</w:t>
      </w:r>
    </w:p>
    <w:p>
      <w:r>
        <w:t>The historical Apple HIG and Windows desktop audits established the native shell, dense workbench, menu parity, close protection, responsive breakpoints, accessibility appearance, and evidence requirements. Their enduring requirements are carried into the retained platform backlog and Test and QA Manual; dated findings remain available through Git history.</w:t>
      </w:r>
    </w:p>
    <w:p>
      <w:pPr>
        <w:pStyle w:val="Heading1"/>
        <w:pageBreakBefore w:val="0"/>
      </w:pPr>
      <w:r>
        <w:t>Incident and Diagnostics Handling</w:t>
      </w:r>
    </w:p>
    <w:p>
      <w:pPr>
        <w:pStyle w:val="ListNumber"/>
        <w:spacing w:after="80"/>
        <w:ind w:left="540" w:hanging="271"/>
        <w:numPr>
          <w:ilvl w:val="0"/>
          <w:numId w:val="10"/>
        </w:numPr>
      </w:pPr>
      <w:r>
        <w:t>Preserve the original project and response artifacts without sharing them broadly.</w:t>
      </w:r>
    </w:p>
    <w:p>
      <w:pPr>
        <w:pStyle w:val="ListNumber"/>
        <w:spacing w:after="80"/>
        <w:ind w:left="540" w:hanging="271"/>
        <w:numPr>
          <w:ilvl w:val="0"/>
          <w:numId w:val="10"/>
        </w:numPr>
      </w:pPr>
      <w:r>
        <w:t>Reproduce with synthetic values if possible.</w:t>
      </w:r>
    </w:p>
    <w:p>
      <w:pPr>
        <w:pStyle w:val="ListNumber"/>
        <w:spacing w:after="80"/>
        <w:ind w:left="540" w:hanging="271"/>
        <w:numPr>
          <w:ilvl w:val="0"/>
          <w:numId w:val="10"/>
        </w:numPr>
      </w:pPr>
      <w:r>
        <w:t>Export a diagnostics bundle and inspect it locally for secret leakage.</w:t>
      </w:r>
    </w:p>
    <w:p>
      <w:pPr>
        <w:pStyle w:val="ListNumber"/>
        <w:spacing w:after="80"/>
        <w:ind w:left="540" w:hanging="271"/>
        <w:numPr>
          <w:ilvl w:val="0"/>
          <w:numId w:val="10"/>
        </w:numPr>
      </w:pPr>
      <w:r>
        <w:t>Record the typed error, timestamps, operation IDs, environment class, and platform without copying credentials.</w:t>
      </w:r>
    </w:p>
    <w:p>
      <w:pPr>
        <w:pStyle w:val="ListNumber"/>
        <w:spacing w:after="80"/>
        <w:ind w:left="540" w:hanging="271"/>
        <w:numPr>
          <w:ilvl w:val="0"/>
          <w:numId w:val="10"/>
        </w:numPr>
      </w:pPr>
      <w:r>
        <w:t>Fix through tests, run security/coverage gates, and verify in the native app.</w:t>
      </w:r>
    </w:p>
    <w:p>
      <w:pPr>
        <w:pStyle w:val="Heading1"/>
        <w:pageBreakBefore w:val="0"/>
      </w:pPr>
      <w:r>
        <w:t>Known Risks and Deferrals</w:t>
      </w:r>
    </w:p>
    <w:p>
      <w:pPr>
        <w:pStyle w:val="ListBullet"/>
        <w:spacing w:after="80"/>
        <w:ind w:left="540" w:hanging="271"/>
      </w:pPr>
      <w:r>
        <w:t>Unsigned packages can trigger platform trust warnings.</w:t>
      </w:r>
    </w:p>
    <w:p>
      <w:pPr>
        <w:pStyle w:val="ListBullet"/>
        <w:spacing w:after="80"/>
        <w:ind w:left="540" w:hanging="271"/>
      </w:pPr>
      <w:r>
        <w:t>Cross-origin HTTP redirects are intentionally rejected; the developer must enter the final destination explicitly.</w:t>
      </w:r>
    </w:p>
    <w:p>
      <w:pPr>
        <w:pStyle w:val="ListBullet"/>
        <w:spacing w:after="80"/>
        <w:ind w:left="540" w:hanging="271"/>
      </w:pPr>
      <w:r>
        <w:t>External OpenAPI references are intentionally same-origin and bounded; cross-origin graphs require the API owner to consolidate or proxy definitions locally.</w:t>
      </w:r>
    </w:p>
    <w:p>
      <w:pPr>
        <w:pStyle w:val="ListBullet"/>
        <w:spacing w:after="80"/>
        <w:ind w:left="540" w:hanging="271"/>
      </w:pPr>
      <w:r>
        <w:t>Multipart files are authorized only for the current session and destination origin, read at native send time, and limited to 25 MiB. Raw application/octet-stream bodies, streaming uploads, and browser file sends remain deferred.</w:t>
      </w:r>
    </w:p>
    <w:p>
      <w:pPr>
        <w:pStyle w:val="ListBullet"/>
        <w:spacing w:after="80"/>
        <w:ind w:left="540" w:hanging="271"/>
      </w:pPr>
      <w:r>
        <w:t>Legacy raw `.txt` response files require the developer to re-send and save a new self-describing artifact.</w:t>
      </w:r>
    </w:p>
    <w:p>
      <w:pPr>
        <w:pStyle w:val="ListBullet"/>
        <w:spacing w:after="80"/>
        <w:ind w:left="540" w:hanging="271"/>
      </w:pPr>
      <w:r>
        <w:t>User-configured endpoints may return hostile or very large data; response bodies, project files, imports, and comparisons now fail early at documented resource limits.</w:t>
      </w:r>
    </w:p>
    <w:p>
      <w:pPr>
        <w:pStyle w:val="ListBullet"/>
        <w:spacing w:after="80"/>
        <w:ind w:left="540" w:hanging="271"/>
      </w:pPr>
      <w:r>
        <w:t>Local project files are only as protected as the user's filesystem account.</w:t>
      </w:r>
    </w:p>
    <w:p>
      <w:pPr>
        <w:pStyle w:val="ListBullet"/>
        <w:spacing w:after="80"/>
        <w:ind w:left="540" w:hanging="271"/>
      </w:pPr>
      <w:r>
        <w:t>There is no hosted collaboration, public updater, store distribution, or enterprise deployment certification.</w:t>
      </w:r>
    </w:p>
    <w:p>
      <w:pPr>
        <w:pStyle w:val="Heading1"/>
        <w:pageBreakBefore w:val="0"/>
      </w:pPr>
      <w:r>
        <w:t>Release Checklist</w:t>
      </w:r>
    </w:p>
    <w:p>
      <w:pPr>
        <w:pStyle w:val="ListBullet"/>
        <w:spacing w:after="80"/>
        <w:ind w:left="540" w:hanging="271"/>
      </w:pPr>
      <w:r>
        <w:t>Exact candidate commit identified.</w:t>
      </w:r>
    </w:p>
    <w:p>
      <w:pPr>
        <w:pStyle w:val="ListBullet"/>
        <w:spacing w:after="80"/>
        <w:ind w:left="540" w:hanging="271"/>
      </w:pPr>
      <w:r>
        <w:t>Web, Rust, security, and configured live REST gates pass.</w:t>
      </w:r>
    </w:p>
    <w:p>
      <w:pPr>
        <w:pStyle w:val="ListBullet"/>
        <w:spacing w:after="80"/>
        <w:ind w:left="540" w:hanging="271"/>
      </w:pPr>
      <w:r>
        <w:t>No high-risk dependency or secret-scanning finding.</w:t>
      </w:r>
    </w:p>
    <w:p>
      <w:pPr>
        <w:pStyle w:val="ListBullet"/>
        <w:spacing w:after="80"/>
        <w:ind w:left="540" w:hanging="271"/>
      </w:pPr>
      <w:r>
        <w:t>Required platform installers built and smoke tested.</w:t>
      </w:r>
    </w:p>
    <w:p>
      <w:pPr>
        <w:pStyle w:val="ListBullet"/>
        <w:spacing w:after="80"/>
        <w:ind w:left="540" w:hanging="271"/>
      </w:pPr>
      <w:r>
        <w:t>Help and documentation correspond to the packaged commit.</w:t>
      </w:r>
    </w:p>
    <w:p>
      <w:pPr>
        <w:pStyle w:val="ListBullet"/>
        <w:spacing w:after="80"/>
        <w:ind w:left="540" w:hanging="271"/>
      </w:pPr>
      <w:r>
        <w:t>Release notes identify unsigned status and known limitations.</w:t>
      </w:r>
    </w:p>
    <w:p>
      <w:pPr>
        <w:pStyle w:val="ListBullet"/>
        <w:spacing w:after="80"/>
        <w:ind w:left="540" w:hanging="271"/>
      </w:pPr>
      <w:r>
        <w:t>Diagnostics and artifacts inspected for sensitive content.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F6B7A"/>
        <w:sz w:val="18"/>
      </w:rPr>
      <w:t>Relay Studio Security, Platform, and Release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 Studio Security, Platform, and Release Manual</dc:title>
  <dc:subject>Relay Studio authoritative documentation</dc:subject>
  <dc:creator>Relay Studio Project</dc:creator>
  <cp:keywords>Relay Studio, documentation, developer tooling</cp:keywords>
  <dc:description>generated by python-docx</dc:description>
  <cp:lastModifiedBy>Relay Studio Project</cp:lastModifiedBy>
  <cp:revision>1</cp:revision>
  <dcterms:created xsi:type="dcterms:W3CDTF">2013-12-23T23:15:00Z</dcterms:created>
  <dcterms:modified xsi:type="dcterms:W3CDTF">2013-12-23T23:15:00Z</dcterms:modified>
  <cp:category/>
</cp:coreProperties>
</file>